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6705CB2F">
        <w:tc>
          <w:tcPr>
            <w:tcW w:w="2438" w:type="dxa"/>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tcPr>
          <w:p w14:paraId="15BDDA14" w14:textId="0EACBDF4"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r w:rsidR="00BF2B37" w:rsidRPr="003E4C33">
              <w:rPr>
                <w:rStyle w:val="Firstpagetablebold"/>
                <w:rFonts w:cs="Arial"/>
              </w:rPr>
              <w:t xml:space="preserve"> </w:t>
            </w:r>
          </w:p>
        </w:tc>
      </w:tr>
      <w:tr w:rsidR="00CE544A" w:rsidRPr="003E4C33" w14:paraId="33BEC222" w14:textId="77777777" w:rsidTr="6705CB2F">
        <w:tc>
          <w:tcPr>
            <w:tcW w:w="2438" w:type="dxa"/>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tcPr>
          <w:p w14:paraId="24B44B70" w14:textId="76BE60D2" w:rsidR="00F445B1" w:rsidRPr="00C55247" w:rsidRDefault="007B4C81" w:rsidP="007B5CA2">
            <w:pPr>
              <w:rPr>
                <w:rFonts w:cs="Arial"/>
                <w:b/>
                <w:bCs/>
                <w:color w:val="auto"/>
              </w:rPr>
            </w:pPr>
            <w:r>
              <w:rPr>
                <w:rFonts w:cs="Arial"/>
                <w:b/>
                <w:bCs/>
                <w:color w:val="auto"/>
              </w:rPr>
              <w:t>23 October 2025</w:t>
            </w:r>
          </w:p>
        </w:tc>
      </w:tr>
      <w:tr w:rsidR="00CE544A" w:rsidRPr="003E4C33" w14:paraId="4976D647" w14:textId="77777777" w:rsidTr="6705CB2F">
        <w:tc>
          <w:tcPr>
            <w:tcW w:w="2438" w:type="dxa"/>
          </w:tcPr>
          <w:p w14:paraId="382A5FE7" w14:textId="77777777" w:rsidR="00F445B1" w:rsidRPr="004809CF" w:rsidRDefault="006B2DE1" w:rsidP="004A6D2F">
            <w:pPr>
              <w:rPr>
                <w:rStyle w:val="Firstpagetablebold"/>
                <w:rFonts w:cs="Arial"/>
                <w:color w:val="auto"/>
              </w:rPr>
            </w:pPr>
            <w:r w:rsidRPr="004809CF">
              <w:rPr>
                <w:rStyle w:val="Firstpagetablebold"/>
                <w:rFonts w:cs="Arial"/>
                <w:color w:val="auto"/>
              </w:rPr>
              <w:t>Decision maker</w:t>
            </w:r>
            <w:r w:rsidR="005C35A5" w:rsidRPr="004809CF">
              <w:rPr>
                <w:rStyle w:val="Firstpagetablebold"/>
                <w:rFonts w:cs="Arial"/>
                <w:color w:val="auto"/>
              </w:rPr>
              <w:t>:</w:t>
            </w:r>
          </w:p>
        </w:tc>
        <w:tc>
          <w:tcPr>
            <w:tcW w:w="6406" w:type="dxa"/>
          </w:tcPr>
          <w:p w14:paraId="4CADFAAE" w14:textId="01DBFBF6" w:rsidR="00F445B1" w:rsidRPr="004809CF" w:rsidRDefault="004809CF" w:rsidP="2BB29E7E">
            <w:pPr>
              <w:rPr>
                <w:rStyle w:val="Firstpagetablebold"/>
                <w:rFonts w:cs="Arial"/>
                <w:b w:val="0"/>
                <w:color w:val="auto"/>
              </w:rPr>
            </w:pPr>
            <w:r w:rsidRPr="004809CF">
              <w:rPr>
                <w:rStyle w:val="Firstpagetablebold"/>
                <w:rFonts w:cs="Arial"/>
                <w:b w:val="0"/>
                <w:color w:val="auto"/>
              </w:rPr>
              <w:t>Tom Hook, Deputy Chief Executive</w:t>
            </w:r>
          </w:p>
        </w:tc>
      </w:tr>
      <w:tr w:rsidR="00CE544A" w:rsidRPr="003E4C33" w14:paraId="1CE13DCA" w14:textId="77777777" w:rsidTr="6705CB2F">
        <w:tc>
          <w:tcPr>
            <w:tcW w:w="2438" w:type="dxa"/>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tcPr>
          <w:p w14:paraId="04146131" w14:textId="36A31D4B" w:rsidR="00F445B1" w:rsidRPr="00C55247" w:rsidRDefault="00C06AED" w:rsidP="6705CB2F">
            <w:pPr>
              <w:rPr>
                <w:rStyle w:val="Firstpagetablebold"/>
                <w:rFonts w:cs="Arial"/>
                <w:b w:val="0"/>
                <w:color w:val="auto"/>
              </w:rPr>
            </w:pPr>
            <w:r>
              <w:rPr>
                <w:rStyle w:val="Firstpagetablebold"/>
                <w:rFonts w:cs="Arial"/>
                <w:b w:val="0"/>
                <w:color w:val="auto"/>
              </w:rPr>
              <w:t>Decision to award a contract for EPC Assessments, Retrofit Assessments and Improvement plans.</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6705CB2F">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C06AED" w:rsidRPr="003E4C33" w14:paraId="5A19916D" w14:textId="77777777" w:rsidTr="6705CB2F">
        <w:tc>
          <w:tcPr>
            <w:tcW w:w="2438" w:type="dxa"/>
            <w:tcBorders>
              <w:top w:val="single" w:sz="8" w:space="0" w:color="000000" w:themeColor="text1"/>
              <w:left w:val="single" w:sz="8" w:space="0" w:color="000000" w:themeColor="text1"/>
              <w:bottom w:val="nil"/>
              <w:right w:val="nil"/>
            </w:tcBorders>
            <w:hideMark/>
          </w:tcPr>
          <w:p w14:paraId="0CBF1A02" w14:textId="75CA1B6E" w:rsidR="00C06AED" w:rsidRPr="003E4C33" w:rsidRDefault="00C06AED" w:rsidP="00C06AED">
            <w:pPr>
              <w:rPr>
                <w:rStyle w:val="Firstpagetablebold"/>
                <w:rFonts w:cs="Arial"/>
              </w:rPr>
            </w:pPr>
            <w:r w:rsidRPr="003E4C33">
              <w:rPr>
                <w:rStyle w:val="Firstpagetablebold"/>
                <w:rFonts w:cs="Arial"/>
              </w:rPr>
              <w:t>Decision being taken:</w:t>
            </w:r>
          </w:p>
        </w:tc>
        <w:tc>
          <w:tcPr>
            <w:tcW w:w="6407" w:type="dxa"/>
            <w:tcBorders>
              <w:top w:val="single" w:sz="8" w:space="0" w:color="000000" w:themeColor="text1"/>
              <w:left w:val="nil"/>
              <w:bottom w:val="nil"/>
              <w:right w:val="single" w:sz="8" w:space="0" w:color="000000" w:themeColor="text1"/>
            </w:tcBorders>
            <w:hideMark/>
          </w:tcPr>
          <w:p w14:paraId="1A556BE9" w14:textId="7781123A" w:rsidR="00C06AED" w:rsidRPr="00C55247" w:rsidRDefault="00C06AED" w:rsidP="00C06AED">
            <w:pPr>
              <w:rPr>
                <w:rFonts w:cs="Arial"/>
                <w:color w:val="auto"/>
              </w:rPr>
            </w:pPr>
            <w:r>
              <w:rPr>
                <w:rStyle w:val="Firstpagetablebold"/>
                <w:rFonts w:cs="Arial"/>
                <w:b w:val="0"/>
                <w:color w:val="auto"/>
              </w:rPr>
              <w:t>Decision to award a contract for EPC Assessments, Retrofit Assessments and Improvement plans for up to 3 years with a total value of £185k including VAT.</w:t>
            </w:r>
          </w:p>
        </w:tc>
      </w:tr>
      <w:tr w:rsidR="00C06AED" w:rsidRPr="003E4C33" w14:paraId="14C2CC29" w14:textId="77777777" w:rsidTr="6705CB2F">
        <w:tc>
          <w:tcPr>
            <w:tcW w:w="2438" w:type="dxa"/>
            <w:tcBorders>
              <w:top w:val="nil"/>
              <w:left w:val="single" w:sz="8" w:space="0" w:color="000000" w:themeColor="text1"/>
              <w:bottom w:val="nil"/>
              <w:right w:val="nil"/>
            </w:tcBorders>
            <w:hideMark/>
          </w:tcPr>
          <w:p w14:paraId="21ECDCE3" w14:textId="77777777" w:rsidR="00C06AED" w:rsidRPr="003E4C33" w:rsidRDefault="00C06AED" w:rsidP="00C06AED">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5A20256A" w:rsidR="00C06AED" w:rsidRPr="00C55247" w:rsidRDefault="00C06AED" w:rsidP="00C06AED">
            <w:pPr>
              <w:rPr>
                <w:rFonts w:cs="Arial"/>
                <w:color w:val="auto"/>
              </w:rPr>
            </w:pPr>
            <w:r>
              <w:rPr>
                <w:rFonts w:cs="Arial"/>
                <w:color w:val="auto"/>
              </w:rPr>
              <w:t>N</w:t>
            </w:r>
            <w:r>
              <w:t>o</w:t>
            </w:r>
            <w:r w:rsidRPr="00C55247">
              <w:rPr>
                <w:rFonts w:cs="Arial"/>
                <w:color w:val="auto"/>
              </w:rPr>
              <w:t xml:space="preserve"> </w:t>
            </w:r>
          </w:p>
        </w:tc>
      </w:tr>
      <w:tr w:rsidR="00C06AED" w:rsidRPr="003E4C33" w14:paraId="631D49A6" w14:textId="77777777" w:rsidTr="6705CB2F">
        <w:tc>
          <w:tcPr>
            <w:tcW w:w="2438" w:type="dxa"/>
            <w:tcBorders>
              <w:top w:val="nil"/>
              <w:left w:val="single" w:sz="8" w:space="0" w:color="000000" w:themeColor="text1"/>
              <w:bottom w:val="nil"/>
              <w:right w:val="nil"/>
            </w:tcBorders>
          </w:tcPr>
          <w:p w14:paraId="17BC101D" w14:textId="77777777" w:rsidR="00C06AED" w:rsidRPr="003E4C33" w:rsidRDefault="00C06AED" w:rsidP="00C06AED">
            <w:pPr>
              <w:rPr>
                <w:rStyle w:val="Firstpagetablebold"/>
                <w:rFonts w:cs="Arial"/>
              </w:rPr>
            </w:pPr>
            <w:bookmarkStart w:id="0" w:name="_Hlk212132658"/>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1243D25E" w14:textId="77777777" w:rsidR="00C06AED" w:rsidRDefault="00C06AED" w:rsidP="00C06AED">
            <w:pPr>
              <w:rPr>
                <w:rFonts w:cs="Arial"/>
                <w:color w:val="auto"/>
              </w:rPr>
            </w:pPr>
            <w:r w:rsidRPr="00C06AED">
              <w:rPr>
                <w:rFonts w:cs="Arial"/>
                <w:color w:val="auto"/>
              </w:rPr>
              <w:t>Cabinet on Wednesday 12 June 2024</w:t>
            </w:r>
          </w:p>
          <w:p w14:paraId="24C2E022" w14:textId="239D0E29" w:rsidR="00C06AED" w:rsidRPr="00C55247" w:rsidRDefault="00C06AED" w:rsidP="00C06AED">
            <w:pPr>
              <w:rPr>
                <w:rFonts w:cs="Arial"/>
                <w:color w:val="auto"/>
              </w:rPr>
            </w:pPr>
            <w:hyperlink r:id="rId11" w:history="1">
              <w:r w:rsidRPr="00C06AED">
                <w:rPr>
                  <w:rStyle w:val="Hyperlink"/>
                </w:rPr>
                <w:t>Minutes</w:t>
              </w:r>
            </w:hyperlink>
            <w:r>
              <w:t xml:space="preserve"> - Section 12, Bullet point 2</w:t>
            </w:r>
          </w:p>
        </w:tc>
      </w:tr>
      <w:bookmarkEnd w:id="0"/>
      <w:tr w:rsidR="00C06AED" w:rsidRPr="003E4C33" w14:paraId="271E719F" w14:textId="77777777" w:rsidTr="6705CB2F">
        <w:tc>
          <w:tcPr>
            <w:tcW w:w="2438" w:type="dxa"/>
            <w:tcBorders>
              <w:top w:val="nil"/>
              <w:left w:val="single" w:sz="8" w:space="0" w:color="000000" w:themeColor="text1"/>
              <w:bottom w:val="nil"/>
              <w:right w:val="nil"/>
            </w:tcBorders>
          </w:tcPr>
          <w:p w14:paraId="1A335B57" w14:textId="576239ED" w:rsidR="00C06AED" w:rsidRPr="003E4C33" w:rsidRDefault="00C06AED" w:rsidP="00C06AED">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42B6A678" w14:textId="77777777" w:rsidR="00C06AED" w:rsidRDefault="00C06AED" w:rsidP="00C06AED">
            <w:pPr>
              <w:autoSpaceDE w:val="0"/>
              <w:autoSpaceDN w:val="0"/>
              <w:adjustRightInd w:val="0"/>
              <w:spacing w:after="0"/>
              <w:rPr>
                <w:rFonts w:cs="Arial"/>
                <w:color w:val="auto"/>
              </w:rPr>
            </w:pPr>
            <w:r>
              <w:rPr>
                <w:rFonts w:cs="Arial"/>
                <w:color w:val="auto"/>
              </w:rPr>
              <w:t>Councillor Linda Smith, Cabinet Member for Housing;</w:t>
            </w:r>
          </w:p>
          <w:p w14:paraId="741D1F9C" w14:textId="77777777" w:rsidR="00C06AED" w:rsidRDefault="00C06AED" w:rsidP="00C06AED">
            <w:pPr>
              <w:autoSpaceDE w:val="0"/>
              <w:autoSpaceDN w:val="0"/>
              <w:adjustRightInd w:val="0"/>
              <w:spacing w:after="0"/>
              <w:rPr>
                <w:rFonts w:cs="Arial"/>
                <w:color w:val="auto"/>
              </w:rPr>
            </w:pPr>
            <w:r>
              <w:rPr>
                <w:rFonts w:cs="Arial"/>
                <w:color w:val="auto"/>
              </w:rPr>
              <w:t>Councillor Anna Railton, Cabinet Member for Zero</w:t>
            </w:r>
          </w:p>
          <w:p w14:paraId="3F43CD0E" w14:textId="1C529198" w:rsidR="00C06AED" w:rsidRPr="00C55247" w:rsidRDefault="00C06AED" w:rsidP="00C06AED">
            <w:pPr>
              <w:rPr>
                <w:rFonts w:cs="Arial"/>
                <w:color w:val="auto"/>
              </w:rPr>
            </w:pPr>
            <w:r>
              <w:rPr>
                <w:rFonts w:cs="Arial"/>
                <w:color w:val="auto"/>
              </w:rPr>
              <w:t>Carbon Oxford and Climate Justice</w:t>
            </w:r>
          </w:p>
        </w:tc>
      </w:tr>
      <w:tr w:rsidR="00C06AED" w:rsidRPr="003E4C33" w14:paraId="7239C84D" w14:textId="77777777" w:rsidTr="6705CB2F">
        <w:tc>
          <w:tcPr>
            <w:tcW w:w="2438" w:type="dxa"/>
            <w:tcBorders>
              <w:top w:val="nil"/>
              <w:left w:val="single" w:sz="8" w:space="0" w:color="000000" w:themeColor="text1"/>
              <w:bottom w:val="nil"/>
              <w:right w:val="nil"/>
            </w:tcBorders>
          </w:tcPr>
          <w:p w14:paraId="69154EA3" w14:textId="5398B245" w:rsidR="00C06AED" w:rsidRPr="003E4C33" w:rsidRDefault="00C06AED" w:rsidP="00C06AED">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1EB98A4D" w:rsidR="00C06AED" w:rsidRPr="00C55247" w:rsidRDefault="00C06AED" w:rsidP="00C06AED">
            <w:pPr>
              <w:rPr>
                <w:rFonts w:cs="Arial"/>
                <w:color w:val="auto"/>
              </w:rPr>
            </w:pPr>
            <w:r>
              <w:rPr>
                <w:rFonts w:cs="Arial"/>
                <w:color w:val="auto"/>
              </w:rPr>
              <w:t>Pursue a zero carbon Oxford; Support thriving communities</w:t>
            </w:r>
          </w:p>
        </w:tc>
      </w:tr>
      <w:tr w:rsidR="00C06AED" w:rsidRPr="003E4C33" w14:paraId="7C13F173" w14:textId="77777777" w:rsidTr="6705CB2F">
        <w:tc>
          <w:tcPr>
            <w:tcW w:w="2438" w:type="dxa"/>
            <w:tcBorders>
              <w:top w:val="nil"/>
              <w:left w:val="single" w:sz="8" w:space="0" w:color="000000" w:themeColor="text1"/>
              <w:bottom w:val="single" w:sz="4" w:space="0" w:color="auto"/>
              <w:right w:val="nil"/>
            </w:tcBorders>
          </w:tcPr>
          <w:p w14:paraId="03C588C4" w14:textId="0F96CD21" w:rsidR="00C06AED" w:rsidRPr="003E4C33" w:rsidRDefault="00C06AED" w:rsidP="00C06AED">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1DBA42BE" w:rsidR="00C06AED" w:rsidRPr="00C55247" w:rsidRDefault="00C06AED" w:rsidP="00C06AED">
            <w:pPr>
              <w:rPr>
                <w:rFonts w:cs="Arial"/>
                <w:color w:val="auto"/>
              </w:rPr>
            </w:pPr>
            <w:r w:rsidRPr="27BCE9C3">
              <w:rPr>
                <w:rFonts w:cs="Arial"/>
                <w:color w:val="auto"/>
              </w:rPr>
              <w:t>Council Strategy 2020-24; Zero Carbon Council by 2030: 4</w:t>
            </w:r>
            <w:r w:rsidRPr="27BCE9C3">
              <w:rPr>
                <w:rFonts w:cs="Arial"/>
                <w:color w:val="auto"/>
                <w:vertAlign w:val="superscript"/>
              </w:rPr>
              <w:t>th</w:t>
            </w:r>
            <w:r w:rsidRPr="27BCE9C3">
              <w:rPr>
                <w:rFonts w:cs="Arial"/>
                <w:color w:val="auto"/>
              </w:rPr>
              <w:t xml:space="preserve"> Carbon Management Plan 2021/22 to 2029/30; Zero Carbon Oxford Action Plan</w:t>
            </w:r>
            <w:r>
              <w:rPr>
                <w:rFonts w:cs="Arial"/>
                <w:color w:val="auto"/>
              </w:rPr>
              <w:t xml:space="preserve">; </w:t>
            </w:r>
            <w:r>
              <w:t>Housing, Homelessness and Rough Sleeping Strategy 2023-2028</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340B77" w:rsidRPr="00975B07" w14:paraId="6AB9E16B" w14:textId="77777777" w:rsidTr="00FD0B08">
        <w:trPr>
          <w:trHeight w:val="413"/>
        </w:trPr>
        <w:tc>
          <w:tcPr>
            <w:tcW w:w="8845" w:type="dxa"/>
            <w:gridSpan w:val="2"/>
            <w:tcBorders>
              <w:bottom w:val="single" w:sz="8" w:space="0" w:color="000000"/>
            </w:tcBorders>
          </w:tcPr>
          <w:p w14:paraId="39BB8A6A" w14:textId="5749790C" w:rsidR="00340B77" w:rsidRPr="00975B07" w:rsidRDefault="00635E3E" w:rsidP="00FD0B08">
            <w:bookmarkStart w:id="1" w:name="_Hlk212132564"/>
            <w:r>
              <w:t>The</w:t>
            </w:r>
            <w:r w:rsidR="0026707D">
              <w:t xml:space="preserve"> </w:t>
            </w:r>
            <w:r w:rsidR="0026707D" w:rsidRPr="004809CF">
              <w:rPr>
                <w:rStyle w:val="Firstpagetablebold"/>
                <w:rFonts w:cs="Arial"/>
                <w:b w:val="0"/>
                <w:color w:val="auto"/>
              </w:rPr>
              <w:t>Deputy Chief Executive</w:t>
            </w:r>
            <w:r w:rsidR="0026707D">
              <w:t xml:space="preserve"> </w:t>
            </w:r>
            <w:r>
              <w:t xml:space="preserve">decides as follows: </w:t>
            </w:r>
          </w:p>
        </w:tc>
      </w:tr>
      <w:tr w:rsidR="00340B77" w:rsidRPr="00975B07" w14:paraId="1817F3CE" w14:textId="77777777" w:rsidTr="00FD0B08">
        <w:trPr>
          <w:trHeight w:val="283"/>
        </w:trPr>
        <w:tc>
          <w:tcPr>
            <w:tcW w:w="426" w:type="dxa"/>
            <w:tcBorders>
              <w:top w:val="single" w:sz="8" w:space="0" w:color="000000"/>
              <w:left w:val="single" w:sz="8" w:space="0" w:color="000000"/>
              <w:bottom w:val="nil"/>
              <w:right w:val="nil"/>
            </w:tcBorders>
          </w:tcPr>
          <w:p w14:paraId="7809A8B3" w14:textId="77777777" w:rsidR="00340B77" w:rsidRPr="00975B07" w:rsidRDefault="00340B77" w:rsidP="00FD0B08">
            <w:r w:rsidRPr="00975B07">
              <w:t>1.</w:t>
            </w:r>
          </w:p>
        </w:tc>
        <w:tc>
          <w:tcPr>
            <w:tcW w:w="8419" w:type="dxa"/>
            <w:tcBorders>
              <w:top w:val="single" w:sz="8" w:space="0" w:color="000000"/>
              <w:left w:val="nil"/>
              <w:bottom w:val="nil"/>
              <w:right w:val="single" w:sz="8" w:space="0" w:color="000000"/>
            </w:tcBorders>
          </w:tcPr>
          <w:p w14:paraId="2599CB46" w14:textId="423A4BC2" w:rsidR="00340B77" w:rsidRPr="00C06AED" w:rsidRDefault="0026707D" w:rsidP="00FD0B08">
            <w:pPr>
              <w:rPr>
                <w:b/>
                <w:bCs/>
              </w:rPr>
            </w:pPr>
            <w:r w:rsidRPr="0026707D">
              <w:rPr>
                <w:rStyle w:val="Firstpagetablebold"/>
                <w:b w:val="0"/>
                <w:bCs/>
              </w:rPr>
              <w:t>To a</w:t>
            </w:r>
            <w:r w:rsidR="00C06AED" w:rsidRPr="0026707D">
              <w:rPr>
                <w:rStyle w:val="Firstpagetablebold"/>
                <w:b w:val="0"/>
                <w:bCs/>
              </w:rPr>
              <w:t>ward</w:t>
            </w:r>
            <w:r w:rsidR="00C06AED" w:rsidRPr="00C06AED">
              <w:rPr>
                <w:rStyle w:val="Firstpagetablebold"/>
                <w:b w:val="0"/>
                <w:bCs/>
              </w:rPr>
              <w:t xml:space="preserve"> and enter into a contract for EPC Assessments, Retrofit Assessments and Improvement </w:t>
            </w:r>
            <w:r w:rsidR="00C06AED" w:rsidRPr="0026707D">
              <w:rPr>
                <w:rStyle w:val="Firstpagetablebold"/>
                <w:b w:val="0"/>
                <w:bCs/>
              </w:rPr>
              <w:t>plants</w:t>
            </w:r>
            <w:r w:rsidR="00340B77" w:rsidRPr="0026707D">
              <w:rPr>
                <w:b/>
                <w:bCs/>
              </w:rPr>
              <w:t xml:space="preserve"> </w:t>
            </w:r>
            <w:r w:rsidR="00C06AED" w:rsidRPr="0026707D">
              <w:t>for</w:t>
            </w:r>
            <w:r w:rsidR="00C06AED">
              <w:rPr>
                <w:bCs/>
              </w:rPr>
              <w:t xml:space="preserve"> up to 3 years with a total value of £185k including VAT to Greenstorm Limited.</w:t>
            </w:r>
          </w:p>
        </w:tc>
      </w:tr>
      <w:bookmarkEnd w:id="1"/>
      <w:tr w:rsidR="00C06AED" w:rsidRPr="00975B07" w14:paraId="49CA75AD" w14:textId="77777777" w:rsidTr="00FD0B08">
        <w:trPr>
          <w:trHeight w:val="283"/>
        </w:trPr>
        <w:tc>
          <w:tcPr>
            <w:tcW w:w="426" w:type="dxa"/>
            <w:tcBorders>
              <w:top w:val="nil"/>
              <w:left w:val="single" w:sz="8" w:space="0" w:color="000000"/>
              <w:bottom w:val="nil"/>
              <w:right w:val="nil"/>
            </w:tcBorders>
          </w:tcPr>
          <w:p w14:paraId="69F0E23A" w14:textId="4A495B50" w:rsidR="00C06AED" w:rsidRPr="00975B07" w:rsidRDefault="00C06AED" w:rsidP="00FD0B08"/>
        </w:tc>
        <w:tc>
          <w:tcPr>
            <w:tcW w:w="8419" w:type="dxa"/>
            <w:tcBorders>
              <w:top w:val="nil"/>
              <w:left w:val="nil"/>
              <w:bottom w:val="nil"/>
              <w:right w:val="single" w:sz="8" w:space="0" w:color="000000"/>
            </w:tcBorders>
          </w:tcPr>
          <w:p w14:paraId="5923B458" w14:textId="54877962" w:rsidR="00C06AED" w:rsidRPr="00C06AED" w:rsidRDefault="00C06AED" w:rsidP="00FD0B08">
            <w:pPr>
              <w:rPr>
                <w:b/>
                <w:bCs/>
              </w:rPr>
            </w:pPr>
          </w:p>
        </w:tc>
      </w:tr>
      <w:tr w:rsidR="00C06AED" w:rsidRPr="00975B07" w14:paraId="7CD4FE14" w14:textId="77777777" w:rsidTr="00FD0B08">
        <w:trPr>
          <w:trHeight w:val="283"/>
        </w:trPr>
        <w:tc>
          <w:tcPr>
            <w:tcW w:w="426" w:type="dxa"/>
            <w:tcBorders>
              <w:top w:val="nil"/>
              <w:left w:val="single" w:sz="8" w:space="0" w:color="000000"/>
              <w:bottom w:val="nil"/>
              <w:right w:val="nil"/>
            </w:tcBorders>
          </w:tcPr>
          <w:p w14:paraId="7711424A" w14:textId="7B40F2C9" w:rsidR="00C06AED" w:rsidRPr="00975B07" w:rsidRDefault="00C06AED" w:rsidP="00FD0B08"/>
        </w:tc>
        <w:tc>
          <w:tcPr>
            <w:tcW w:w="8419" w:type="dxa"/>
            <w:tcBorders>
              <w:top w:val="nil"/>
              <w:left w:val="nil"/>
              <w:bottom w:val="nil"/>
              <w:right w:val="single" w:sz="8" w:space="0" w:color="000000"/>
            </w:tcBorders>
          </w:tcPr>
          <w:p w14:paraId="6C2905EB" w14:textId="6C4899F0" w:rsidR="00C06AED" w:rsidRPr="001356F1" w:rsidRDefault="00C06AED" w:rsidP="00FD0B08"/>
        </w:tc>
      </w:tr>
      <w:tr w:rsidR="00C06AED" w:rsidRPr="00975B07" w14:paraId="4ABFABD8" w14:textId="77777777" w:rsidTr="00FD0B08">
        <w:trPr>
          <w:trHeight w:val="283"/>
        </w:trPr>
        <w:tc>
          <w:tcPr>
            <w:tcW w:w="426" w:type="dxa"/>
            <w:tcBorders>
              <w:top w:val="nil"/>
              <w:left w:val="single" w:sz="8" w:space="0" w:color="000000"/>
              <w:bottom w:val="nil"/>
              <w:right w:val="nil"/>
            </w:tcBorders>
          </w:tcPr>
          <w:p w14:paraId="12245342" w14:textId="05AF0A5A" w:rsidR="00C06AED" w:rsidRPr="00975B07" w:rsidRDefault="00C06AED" w:rsidP="00FD0B08"/>
        </w:tc>
        <w:tc>
          <w:tcPr>
            <w:tcW w:w="8419" w:type="dxa"/>
            <w:tcBorders>
              <w:top w:val="nil"/>
              <w:left w:val="nil"/>
              <w:bottom w:val="nil"/>
              <w:right w:val="single" w:sz="8" w:space="0" w:color="000000"/>
            </w:tcBorders>
          </w:tcPr>
          <w:p w14:paraId="169AC68C" w14:textId="38467743" w:rsidR="00C06AED" w:rsidRPr="001356F1" w:rsidRDefault="00C06AED" w:rsidP="00FD0B08"/>
        </w:tc>
      </w:tr>
      <w:tr w:rsidR="00C06AED" w:rsidRPr="00975B07" w14:paraId="0BA55342" w14:textId="77777777" w:rsidTr="00C06AED">
        <w:trPr>
          <w:trHeight w:val="60"/>
        </w:trPr>
        <w:tc>
          <w:tcPr>
            <w:tcW w:w="426" w:type="dxa"/>
            <w:tcBorders>
              <w:top w:val="nil"/>
              <w:left w:val="single" w:sz="8" w:space="0" w:color="000000"/>
              <w:bottom w:val="single" w:sz="8" w:space="0" w:color="000000"/>
              <w:right w:val="nil"/>
            </w:tcBorders>
          </w:tcPr>
          <w:p w14:paraId="36306625" w14:textId="7ABED3BA" w:rsidR="00C06AED" w:rsidRPr="00975B07" w:rsidRDefault="00C06AED" w:rsidP="00FD0B08"/>
        </w:tc>
        <w:tc>
          <w:tcPr>
            <w:tcW w:w="8419" w:type="dxa"/>
            <w:tcBorders>
              <w:top w:val="nil"/>
              <w:left w:val="nil"/>
              <w:bottom w:val="single" w:sz="8" w:space="0" w:color="000000"/>
              <w:right w:val="single" w:sz="8" w:space="0" w:color="000000"/>
            </w:tcBorders>
          </w:tcPr>
          <w:p w14:paraId="79CB69C3" w14:textId="0EB791CC" w:rsidR="00C06AED" w:rsidRPr="001356F1" w:rsidRDefault="00C06AED" w:rsidP="00FD0B08"/>
        </w:tc>
      </w:tr>
    </w:tbl>
    <w:p w14:paraId="161FC716" w14:textId="77777777" w:rsidR="00340B77" w:rsidRDefault="00340B77" w:rsidP="004A6D2F"/>
    <w:p w14:paraId="20640FB6" w14:textId="77777777" w:rsidR="00340B77" w:rsidRPr="003E4C33" w:rsidRDefault="00340B77"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rsidP="004D7DC7">
            <w:pPr>
              <w:jc w:val="center"/>
              <w:rPr>
                <w:rStyle w:val="Firstpagetablebold"/>
                <w:rFonts w:cs="Arial"/>
              </w:rPr>
            </w:pPr>
            <w:r>
              <w:rPr>
                <w:rStyle w:val="Firstpagetablebold"/>
                <w:rFonts w:cs="Arial"/>
              </w:rPr>
              <w:lastRenderedPageBreak/>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4D7DC7">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4D7DC7">
            <w:pPr>
              <w:jc w:val="center"/>
              <w:rPr>
                <w:rStyle w:val="Firstpagetablebold"/>
                <w:rFonts w:cs="Arial"/>
              </w:rPr>
            </w:pPr>
            <w:r>
              <w:rPr>
                <w:rStyle w:val="Firstpagetablebold"/>
                <w:rFonts w:cs="Arial"/>
              </w:rPr>
              <w:t>Exempt from Publication</w:t>
            </w:r>
          </w:p>
        </w:tc>
      </w:tr>
      <w:tr w:rsidR="006E1FA1" w:rsidRPr="003E4C33" w14:paraId="65A82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59951723" w:rsidR="006E1FA1" w:rsidRPr="00C55247" w:rsidRDefault="0078005C" w:rsidP="004D7DC7">
            <w:pPr>
              <w:rPr>
                <w:rStyle w:val="Firstpagetablebold"/>
                <w:rFonts w:cs="Arial"/>
                <w:color w:val="auto"/>
              </w:rPr>
            </w:pPr>
            <w:r>
              <w:rPr>
                <w:rStyle w:val="Firstpagetablebold"/>
                <w:rFonts w:cs="Arial"/>
                <w:color w:val="auto"/>
              </w:rPr>
              <w:t>N</w:t>
            </w:r>
            <w:r>
              <w:rPr>
                <w:rStyle w:val="Firstpagetablebold"/>
                <w:rFonts w:cs="Arial"/>
              </w:rPr>
              <w:t>/A</w:t>
            </w:r>
          </w:p>
        </w:tc>
        <w:tc>
          <w:tcPr>
            <w:tcW w:w="2803" w:type="dxa"/>
            <w:tcBorders>
              <w:top w:val="single" w:sz="4" w:space="0" w:color="auto"/>
              <w:left w:val="single" w:sz="4" w:space="0" w:color="auto"/>
              <w:bottom w:val="single" w:sz="4" w:space="0" w:color="auto"/>
              <w:right w:val="single" w:sz="4" w:space="0" w:color="auto"/>
            </w:tcBorders>
          </w:tcPr>
          <w:p w14:paraId="012A0FE8" w14:textId="0CED2715" w:rsidR="006E1FA1" w:rsidRPr="00C55247" w:rsidRDefault="0078005C" w:rsidP="00AE262E">
            <w:pPr>
              <w:rPr>
                <w:rFonts w:cs="Arial"/>
                <w:color w:val="auto"/>
              </w:rPr>
            </w:pPr>
            <w:r>
              <w:rPr>
                <w:rFonts w:cs="Arial"/>
                <w:color w:val="auto"/>
              </w:rPr>
              <w:t>N/A</w:t>
            </w:r>
          </w:p>
        </w:tc>
        <w:tc>
          <w:tcPr>
            <w:tcW w:w="4455" w:type="dxa"/>
            <w:tcBorders>
              <w:top w:val="single" w:sz="4" w:space="0" w:color="auto"/>
              <w:left w:val="single" w:sz="4" w:space="0" w:color="auto"/>
              <w:bottom w:val="single" w:sz="4" w:space="0" w:color="auto"/>
              <w:right w:val="single" w:sz="4" w:space="0" w:color="auto"/>
            </w:tcBorders>
          </w:tcPr>
          <w:p w14:paraId="261E410F" w14:textId="741165C2" w:rsidR="004A39C3" w:rsidRPr="0078005C" w:rsidRDefault="0078005C" w:rsidP="0078005C">
            <w:pPr>
              <w:ind w:left="426" w:hanging="426"/>
              <w:rPr>
                <w:rFonts w:cs="Arial"/>
                <w:color w:val="auto"/>
              </w:rPr>
            </w:pPr>
            <w:r>
              <w:rPr>
                <w:rFonts w:cs="Arial"/>
                <w:color w:val="auto"/>
              </w:rPr>
              <w:t>N/A</w:t>
            </w:r>
          </w:p>
          <w:p w14:paraId="26CB7083" w14:textId="18DBE48E" w:rsidR="004A39C3" w:rsidRPr="00C55247" w:rsidRDefault="004A39C3" w:rsidP="004A39C3">
            <w:pPr>
              <w:ind w:left="18" w:hanging="18"/>
              <w:rPr>
                <w:rFonts w:cs="Arial"/>
                <w:color w:val="auto"/>
              </w:rPr>
            </w:pPr>
          </w:p>
        </w:tc>
      </w:tr>
    </w:tbl>
    <w:p w14:paraId="464A13D2" w14:textId="72C968EF" w:rsidR="0040736F" w:rsidRPr="003E4C33" w:rsidRDefault="00F66DCA" w:rsidP="004A6D2F">
      <w:pPr>
        <w:pStyle w:val="Heading1"/>
        <w:rPr>
          <w:rFonts w:cs="Arial"/>
        </w:rPr>
      </w:pPr>
      <w:r w:rsidRPr="003E4C33">
        <w:rPr>
          <w:rFonts w:cs="Arial"/>
        </w:rPr>
        <w:t>Introduction and b</w:t>
      </w:r>
      <w:r w:rsidR="00151888" w:rsidRPr="003E4C33">
        <w:rPr>
          <w:rFonts w:cs="Arial"/>
        </w:rPr>
        <w:t>ackground</w:t>
      </w:r>
      <w:r w:rsidR="00404032" w:rsidRPr="003E4C33">
        <w:rPr>
          <w:rFonts w:cs="Arial"/>
        </w:rPr>
        <w:t xml:space="preserve"> </w:t>
      </w:r>
    </w:p>
    <w:p w14:paraId="56583A46" w14:textId="64D77D81" w:rsidR="009C5661" w:rsidRDefault="009C5661" w:rsidP="009C5661">
      <w:pPr>
        <w:pStyle w:val="ListParagraph"/>
        <w:numPr>
          <w:ilvl w:val="0"/>
          <w:numId w:val="47"/>
        </w:numPr>
        <w:autoSpaceDE w:val="0"/>
        <w:autoSpaceDN w:val="0"/>
        <w:adjustRightInd w:val="0"/>
        <w:spacing w:after="0"/>
        <w:rPr>
          <w:rFonts w:cs="Arial"/>
        </w:rPr>
      </w:pPr>
      <w:r w:rsidRPr="009C5661">
        <w:rPr>
          <w:rFonts w:cs="Arial"/>
        </w:rPr>
        <w:t xml:space="preserve">Oxford City Council (OCC) has set a target of getting 95% of its housing stock to an Energy Performance Certificate (EPC) C or above by 2030. </w:t>
      </w:r>
    </w:p>
    <w:p w14:paraId="62BF9C0F" w14:textId="77777777" w:rsidR="009C5661" w:rsidRPr="009C5661" w:rsidRDefault="009C5661" w:rsidP="009C5661">
      <w:pPr>
        <w:pStyle w:val="ListParagraph"/>
        <w:numPr>
          <w:ilvl w:val="0"/>
          <w:numId w:val="0"/>
        </w:numPr>
        <w:autoSpaceDE w:val="0"/>
        <w:autoSpaceDN w:val="0"/>
        <w:adjustRightInd w:val="0"/>
        <w:spacing w:after="0"/>
        <w:ind w:left="360"/>
        <w:rPr>
          <w:rFonts w:cs="Arial"/>
        </w:rPr>
      </w:pPr>
    </w:p>
    <w:p w14:paraId="40D8C05B" w14:textId="2292C6A6" w:rsidR="009C5661" w:rsidRDefault="009C5661" w:rsidP="009C5661">
      <w:pPr>
        <w:pStyle w:val="ListParagraph"/>
        <w:numPr>
          <w:ilvl w:val="0"/>
          <w:numId w:val="47"/>
        </w:numPr>
      </w:pPr>
      <w:r>
        <w:t>The Council does not currently have EPCs for all of its housing stock and a large majority of EPCs are out of date</w:t>
      </w:r>
      <w:r w:rsidR="00026102">
        <w:t>,</w:t>
      </w:r>
      <w:r>
        <w:t xml:space="preserve"> due to their age and works being carried out since they were produced.</w:t>
      </w:r>
    </w:p>
    <w:p w14:paraId="058F9060" w14:textId="77777777" w:rsidR="00633578" w:rsidRPr="00C55247" w:rsidRDefault="006B2DE1" w:rsidP="002B6836">
      <w:pPr>
        <w:pStyle w:val="Heading1"/>
        <w:rPr>
          <w:rFonts w:cs="Arial"/>
          <w:color w:val="auto"/>
        </w:rPr>
      </w:pPr>
      <w:r w:rsidRPr="00C55247">
        <w:rPr>
          <w:rFonts w:cs="Arial"/>
          <w:color w:val="auto"/>
        </w:rPr>
        <w:t xml:space="preserve">Reasons for the decision </w:t>
      </w:r>
    </w:p>
    <w:p w14:paraId="2762BC86" w14:textId="77777777" w:rsidR="009C5661" w:rsidRDefault="009C5661" w:rsidP="009C5661">
      <w:pPr>
        <w:pStyle w:val="ListParagraph"/>
        <w:numPr>
          <w:ilvl w:val="0"/>
          <w:numId w:val="47"/>
        </w:numPr>
      </w:pPr>
      <w:bookmarkStart w:id="2" w:name="_Hlk212132594"/>
      <w:r w:rsidRPr="005E1AC9">
        <w:t xml:space="preserve">In order to establish what works </w:t>
      </w:r>
      <w:r>
        <w:t>are needed</w:t>
      </w:r>
      <w:r w:rsidRPr="005E1AC9">
        <w:t xml:space="preserve"> to achieve EPC C </w:t>
      </w:r>
      <w:r>
        <w:t xml:space="preserve">in our housing stock, </w:t>
      </w:r>
      <w:r w:rsidRPr="005E1AC9">
        <w:t xml:space="preserve">and </w:t>
      </w:r>
      <w:r>
        <w:t xml:space="preserve">to </w:t>
      </w:r>
      <w:r w:rsidRPr="005E1AC9">
        <w:t xml:space="preserve">confirm which properties are currently below </w:t>
      </w:r>
      <w:r>
        <w:t xml:space="preserve">an </w:t>
      </w:r>
      <w:r w:rsidRPr="005E1AC9">
        <w:t>EPC C</w:t>
      </w:r>
      <w:r>
        <w:t>, the Council’s housing stock data needs to be improved via new EPCs.</w:t>
      </w:r>
      <w:r w:rsidRPr="005E1AC9">
        <w:t xml:space="preserve"> </w:t>
      </w:r>
    </w:p>
    <w:p w14:paraId="388C567F" w14:textId="665AFBBC" w:rsidR="009C5661" w:rsidRPr="005E1AC9" w:rsidRDefault="009C5661" w:rsidP="009C5661">
      <w:pPr>
        <w:pStyle w:val="ListParagraph"/>
        <w:numPr>
          <w:ilvl w:val="0"/>
          <w:numId w:val="47"/>
        </w:numPr>
      </w:pPr>
      <w:r>
        <w:t>A</w:t>
      </w:r>
      <w:r w:rsidRPr="005E1AC9">
        <w:t xml:space="preserve"> supplier is required to deliver EPCs</w:t>
      </w:r>
      <w:r>
        <w:t>, Retrofit Assessments</w:t>
      </w:r>
      <w:r w:rsidRPr="005E1AC9">
        <w:t xml:space="preserve"> and improvement plans so </w:t>
      </w:r>
      <w:r>
        <w:t xml:space="preserve">defined </w:t>
      </w:r>
      <w:r w:rsidRPr="005E1AC9">
        <w:t>work</w:t>
      </w:r>
      <w:r>
        <w:t xml:space="preserve"> packages can be determined</w:t>
      </w:r>
      <w:r w:rsidRPr="005E1AC9">
        <w:t xml:space="preserve"> </w:t>
      </w:r>
      <w:r>
        <w:t>to ensure the Council’s target can be met. This will allow for works to be</w:t>
      </w:r>
      <w:r w:rsidRPr="005E1AC9">
        <w:t xml:space="preserve"> incorporated into the capital programme and separate stand-alone projects</w:t>
      </w:r>
      <w:r>
        <w:t xml:space="preserve"> where there is no alignment</w:t>
      </w:r>
      <w:r w:rsidRPr="005E1AC9">
        <w:t xml:space="preserve">. </w:t>
      </w:r>
      <w:r>
        <w:t>These work packages</w:t>
      </w:r>
      <w:r w:rsidRPr="005E1AC9">
        <w:t xml:space="preserve"> will also place </w:t>
      </w:r>
      <w:r>
        <w:t>the Council</w:t>
      </w:r>
      <w:r w:rsidRPr="005E1AC9">
        <w:t xml:space="preserve"> in a better position if funding should become available.</w:t>
      </w:r>
    </w:p>
    <w:p w14:paraId="7ADF1EC6" w14:textId="77777777" w:rsidR="009C5661" w:rsidRDefault="009C5661" w:rsidP="009C5661">
      <w:pPr>
        <w:pStyle w:val="ListParagraph"/>
      </w:pPr>
      <w:r w:rsidRPr="005E1AC9">
        <w:t>Cabinet approval was given to spend funds and award contracts on Wednesday 12 June 2024.</w:t>
      </w:r>
    </w:p>
    <w:bookmarkEnd w:id="2"/>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73DB98C8" w:rsidR="006C7D2E" w:rsidRDefault="009C5661" w:rsidP="007C1F3D">
      <w:pPr>
        <w:pStyle w:val="ListParagraph"/>
      </w:pPr>
      <w:bookmarkStart w:id="3" w:name="_Hlk212132635"/>
      <w:r>
        <w:t>Do nothing – the Council will not deliver its EPC C target as packages of works cannot be developed.</w:t>
      </w:r>
    </w:p>
    <w:p w14:paraId="0815E695" w14:textId="52F4AA3C" w:rsidR="009C5661" w:rsidRPr="00C55247" w:rsidRDefault="009C5661" w:rsidP="007C1F3D">
      <w:pPr>
        <w:pStyle w:val="ListParagraph"/>
      </w:pPr>
      <w:r>
        <w:t>Use in house tool – these proved to be inaccurate in the early stages of the Energy Efficiency programme under SHDF wave 2.1</w:t>
      </w:r>
    </w:p>
    <w:bookmarkEnd w:id="3"/>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46C94C97" w14:textId="63DED55A" w:rsidR="009D3627" w:rsidRPr="00C55247" w:rsidRDefault="004809CF" w:rsidP="6705CB2F">
      <w:pPr>
        <w:pStyle w:val="ListParagraph"/>
        <w:rPr>
          <w:color w:val="auto"/>
        </w:rPr>
      </w:pPr>
      <w:r>
        <w:rPr>
          <w:color w:val="auto"/>
        </w:rPr>
        <w:t>n/a</w:t>
      </w:r>
    </w:p>
    <w:p w14:paraId="7AED9DA2" w14:textId="77E21A27" w:rsidR="009E68E0" w:rsidRPr="00C55247" w:rsidRDefault="009E68E0" w:rsidP="001A1BA1">
      <w:pPr>
        <w:pStyle w:val="Heading1"/>
        <w:rPr>
          <w:rFonts w:cs="Arial"/>
          <w:color w:val="auto"/>
        </w:rPr>
      </w:pPr>
      <w:r w:rsidRPr="00C55247">
        <w:rPr>
          <w:rFonts w:cs="Arial"/>
          <w:color w:val="auto"/>
        </w:rPr>
        <w:t xml:space="preserve">Risks </w:t>
      </w:r>
    </w:p>
    <w:p w14:paraId="1585D049" w14:textId="6D46FC06" w:rsidR="009E68E0" w:rsidRPr="00C55247" w:rsidRDefault="004809CF" w:rsidP="009E68E0">
      <w:pPr>
        <w:pStyle w:val="ListParagraph"/>
        <w:rPr>
          <w:color w:val="auto"/>
        </w:rPr>
      </w:pPr>
      <w:r>
        <w:rPr>
          <w:color w:val="auto"/>
        </w:rPr>
        <w:t>Access is the key risk to delivery. The chosen supplier has provided a comprehensive plan to overcome the issues previously experienced.</w:t>
      </w:r>
    </w:p>
    <w:p w14:paraId="6A43684D" w14:textId="77777777" w:rsidR="00630829" w:rsidRPr="00C55247" w:rsidRDefault="00630829" w:rsidP="00630829">
      <w:pPr>
        <w:pStyle w:val="bParagraphtext"/>
        <w:numPr>
          <w:ilvl w:val="0"/>
          <w:numId w:val="0"/>
        </w:numPr>
        <w:rPr>
          <w:color w:val="auto"/>
        </w:rPr>
      </w:pPr>
      <w:r w:rsidRPr="00C55247">
        <w:rPr>
          <w:b/>
          <w:color w:val="auto"/>
        </w:rPr>
        <w:t xml:space="preserve">Carbon and Environmental Considerations </w:t>
      </w:r>
    </w:p>
    <w:p w14:paraId="370548E2" w14:textId="62FD0AC8" w:rsidR="00630829" w:rsidRPr="00C55247" w:rsidRDefault="004809CF" w:rsidP="00630829">
      <w:pPr>
        <w:pStyle w:val="bParagraphtext"/>
        <w:rPr>
          <w:color w:val="auto"/>
        </w:rPr>
      </w:pPr>
      <w:r>
        <w:rPr>
          <w:color w:val="auto"/>
        </w:rPr>
        <w:t>Reduction in carbon emissions from Housing stock will result from the developed packages of work.</w:t>
      </w:r>
    </w:p>
    <w:p w14:paraId="2454F4E3" w14:textId="77777777" w:rsidR="00630829" w:rsidRDefault="00630829" w:rsidP="00630829">
      <w:pPr>
        <w:pStyle w:val="ListParagraph"/>
        <w:numPr>
          <w:ilvl w:val="0"/>
          <w:numId w:val="0"/>
        </w:numPr>
        <w:ind w:left="426"/>
      </w:pPr>
    </w:p>
    <w:p w14:paraId="4282B049" w14:textId="08C55620" w:rsidR="00E87F7A" w:rsidRPr="003E4C33" w:rsidRDefault="001A1BA1" w:rsidP="001A1BA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0BD1F7A">
        <w:tc>
          <w:tcPr>
            <w:tcW w:w="1883" w:type="dxa"/>
          </w:tcPr>
          <w:p w14:paraId="2AB1A861" w14:textId="77777777" w:rsidR="00372A82" w:rsidRPr="003E4C33" w:rsidRDefault="00372A82" w:rsidP="00C076B9">
            <w:pPr>
              <w:pStyle w:val="Bulletpoints"/>
              <w:numPr>
                <w:ilvl w:val="0"/>
                <w:numId w:val="0"/>
              </w:numPr>
              <w:rPr>
                <w:rFonts w:cs="Arial"/>
                <w:b/>
              </w:rPr>
            </w:pPr>
            <w:r w:rsidRPr="003E4C33">
              <w:rPr>
                <w:rFonts w:cs="Arial"/>
                <w:b/>
              </w:rPr>
              <w:lastRenderedPageBreak/>
              <w:t>Financial implications</w:t>
            </w:r>
          </w:p>
        </w:tc>
        <w:tc>
          <w:tcPr>
            <w:tcW w:w="4379" w:type="dxa"/>
          </w:tcPr>
          <w:p w14:paraId="0696855A" w14:textId="7DCBF883" w:rsidR="00DF73FF" w:rsidRPr="0024565D" w:rsidRDefault="004809CF" w:rsidP="00CB7A4F">
            <w:pPr>
              <w:rPr>
                <w:rFonts w:cs="Arial"/>
                <w:color w:val="auto"/>
              </w:rPr>
            </w:pPr>
            <w:r w:rsidRPr="007B59A7">
              <w:rPr>
                <w:rStyle w:val="bParagraphtextChar"/>
                <w:color w:val="auto"/>
              </w:rPr>
              <w:t xml:space="preserve">Delegated authority was given by Cabinet to </w:t>
            </w:r>
            <w:r w:rsidRPr="007B59A7">
              <w:rPr>
                <w:rFonts w:cs="Arial"/>
                <w:color w:val="auto"/>
              </w:rPr>
              <w:t xml:space="preserve">spend the previously </w:t>
            </w:r>
            <w:r w:rsidRPr="007B59A7">
              <w:rPr>
                <w:rStyle w:val="normaltextrun"/>
                <w:rFonts w:cs="Arial"/>
                <w:color w:val="auto"/>
                <w:shd w:val="clear" w:color="auto" w:fill="FFFFFF"/>
              </w:rPr>
              <w:t xml:space="preserve">approved remaining HRA </w:t>
            </w:r>
            <w:r w:rsidRPr="007B59A7">
              <w:rPr>
                <w:rStyle w:val="normaltextrun"/>
                <w:rFonts w:cs="Arial"/>
                <w:color w:val="auto"/>
              </w:rPr>
              <w:t xml:space="preserve">24 /25 </w:t>
            </w:r>
            <w:r w:rsidRPr="007B59A7">
              <w:rPr>
                <w:rStyle w:val="normaltextrun"/>
                <w:rFonts w:cs="Arial"/>
                <w:color w:val="auto"/>
                <w:shd w:val="clear" w:color="auto" w:fill="FFFFFF"/>
              </w:rPr>
              <w:t xml:space="preserve">budget, as agreed by full Council in 2023/24, </w:t>
            </w:r>
            <w:r w:rsidRPr="007B59A7">
              <w:rPr>
                <w:rFonts w:cs="Arial"/>
                <w:color w:val="auto"/>
              </w:rPr>
              <w:t>for the purposes of HRA Energy Efficiency projects, including awarding contracts to contractors and consultants to manage and deliver the p</w:t>
            </w:r>
            <w:r w:rsidRPr="007B59A7">
              <w:rPr>
                <w:color w:val="auto"/>
              </w:rPr>
              <w:t xml:space="preserve">rojects </w:t>
            </w:r>
            <w:r w:rsidRPr="007B59A7">
              <w:rPr>
                <w:rFonts w:cs="Arial"/>
                <w:color w:val="auto"/>
              </w:rPr>
              <w:t>following procurement processe</w:t>
            </w:r>
            <w:r w:rsidRPr="007B59A7">
              <w:rPr>
                <w:color w:val="auto"/>
              </w:rPr>
              <w:t>s</w:t>
            </w:r>
            <w:r w:rsidRPr="007B59A7">
              <w:rPr>
                <w:rFonts w:cs="Arial"/>
                <w:color w:val="auto"/>
              </w:rPr>
              <w:t xml:space="preserve"> outlined in the constitution.</w:t>
            </w:r>
          </w:p>
        </w:tc>
        <w:tc>
          <w:tcPr>
            <w:tcW w:w="3026" w:type="dxa"/>
          </w:tcPr>
          <w:p w14:paraId="57868ECF" w14:textId="77777777" w:rsidR="00372A82" w:rsidRPr="00C55247" w:rsidRDefault="001A1BA1" w:rsidP="00C076B9">
            <w:pPr>
              <w:pStyle w:val="Bulletpoints"/>
              <w:numPr>
                <w:ilvl w:val="0"/>
                <w:numId w:val="0"/>
              </w:numPr>
              <w:rPr>
                <w:rFonts w:cs="Arial"/>
                <w:b/>
                <w:color w:val="auto"/>
              </w:rPr>
            </w:pPr>
            <w:r w:rsidRPr="00C55247">
              <w:rPr>
                <w:rFonts w:cs="Arial"/>
                <w:b/>
                <w:color w:val="auto"/>
              </w:rPr>
              <w:t>Completed by:</w:t>
            </w:r>
          </w:p>
          <w:p w14:paraId="60216F1E" w14:textId="7E0D1931" w:rsidR="001A1BA1" w:rsidRDefault="00DF73FF" w:rsidP="00C076B9">
            <w:pPr>
              <w:pStyle w:val="Bulletpoints"/>
              <w:numPr>
                <w:ilvl w:val="0"/>
                <w:numId w:val="0"/>
              </w:numPr>
              <w:rPr>
                <w:rFonts w:cs="Arial"/>
                <w:color w:val="auto"/>
              </w:rPr>
            </w:pPr>
            <w:r>
              <w:rPr>
                <w:rFonts w:cs="Arial"/>
                <w:color w:val="auto"/>
              </w:rPr>
              <w:t>Nigel Kennedy</w:t>
            </w:r>
          </w:p>
          <w:p w14:paraId="3F44A7DF" w14:textId="41D9EE7F" w:rsidR="00DF73FF" w:rsidRPr="00C55247" w:rsidRDefault="00BD2905" w:rsidP="00C076B9">
            <w:pPr>
              <w:pStyle w:val="Bulletpoints"/>
              <w:numPr>
                <w:ilvl w:val="0"/>
                <w:numId w:val="0"/>
              </w:numPr>
              <w:rPr>
                <w:rFonts w:cs="Arial"/>
                <w:color w:val="auto"/>
              </w:rPr>
            </w:pPr>
            <w:r>
              <w:t>Group Finance Director</w:t>
            </w:r>
          </w:p>
          <w:p w14:paraId="7DB0BC85" w14:textId="77777777" w:rsidR="001A1BA1" w:rsidRPr="00C55247" w:rsidRDefault="001A1BA1" w:rsidP="00C076B9">
            <w:pPr>
              <w:pStyle w:val="Bulletpoints"/>
              <w:numPr>
                <w:ilvl w:val="0"/>
                <w:numId w:val="0"/>
              </w:numPr>
              <w:rPr>
                <w:rFonts w:cs="Arial"/>
                <w:b/>
                <w:color w:val="auto"/>
              </w:rPr>
            </w:pPr>
            <w:r w:rsidRPr="00C55247">
              <w:rPr>
                <w:rFonts w:cs="Arial"/>
                <w:b/>
                <w:color w:val="auto"/>
              </w:rPr>
              <w:t>Date:</w:t>
            </w:r>
          </w:p>
          <w:p w14:paraId="003D265E" w14:textId="5C126B16" w:rsidR="001A1BA1" w:rsidRPr="00C55247" w:rsidRDefault="00DF73FF" w:rsidP="00C076B9">
            <w:pPr>
              <w:pStyle w:val="Bulletpoints"/>
              <w:numPr>
                <w:ilvl w:val="0"/>
                <w:numId w:val="0"/>
              </w:numPr>
              <w:rPr>
                <w:rFonts w:cs="Arial"/>
                <w:color w:val="auto"/>
              </w:rPr>
            </w:pPr>
            <w:r>
              <w:rPr>
                <w:rFonts w:cs="Arial"/>
                <w:color w:val="auto"/>
              </w:rPr>
              <w:t>21/10/2</w:t>
            </w:r>
            <w:r w:rsidR="00BD2905">
              <w:rPr>
                <w:rFonts w:cs="Arial"/>
                <w:color w:val="auto"/>
              </w:rPr>
              <w:t>5</w:t>
            </w:r>
          </w:p>
        </w:tc>
      </w:tr>
      <w:tr w:rsidR="00372A82" w:rsidRPr="003E4C33" w14:paraId="7D8DECFB" w14:textId="77777777" w:rsidTr="00BD1F7A">
        <w:tc>
          <w:tcPr>
            <w:tcW w:w="1883" w:type="dxa"/>
          </w:tcPr>
          <w:p w14:paraId="1C5F2B75" w14:textId="77777777" w:rsidR="00372A82" w:rsidRPr="003E4C33" w:rsidRDefault="00372A82" w:rsidP="008A34D3">
            <w:pPr>
              <w:pStyle w:val="Bulletpoints"/>
              <w:numPr>
                <w:ilvl w:val="0"/>
                <w:numId w:val="0"/>
              </w:numPr>
              <w:rPr>
                <w:rFonts w:cs="Arial"/>
                <w:b/>
              </w:rPr>
            </w:pPr>
            <w:r w:rsidRPr="003E4C33">
              <w:rPr>
                <w:rFonts w:cs="Arial"/>
                <w:b/>
              </w:rPr>
              <w:t xml:space="preserve">Legal </w:t>
            </w:r>
            <w:r w:rsidR="008A34D3" w:rsidRPr="003E4C33">
              <w:rPr>
                <w:rFonts w:cs="Arial"/>
                <w:b/>
              </w:rPr>
              <w:t xml:space="preserve">implications </w:t>
            </w:r>
          </w:p>
        </w:tc>
        <w:tc>
          <w:tcPr>
            <w:tcW w:w="4379" w:type="dxa"/>
          </w:tcPr>
          <w:p w14:paraId="4FC9F7BB" w14:textId="50312D1C" w:rsidR="004809CF" w:rsidRPr="002F232D" w:rsidRDefault="0045681B" w:rsidP="00372A82">
            <w:pPr>
              <w:pStyle w:val="bParagraphtext"/>
              <w:numPr>
                <w:ilvl w:val="0"/>
                <w:numId w:val="0"/>
              </w:numPr>
              <w:tabs>
                <w:tab w:val="clear" w:pos="426"/>
                <w:tab w:val="left" w:pos="176"/>
              </w:tabs>
              <w:rPr>
                <w:rFonts w:cs="Arial"/>
                <w:color w:val="auto"/>
              </w:rPr>
            </w:pPr>
            <w:r w:rsidRPr="002F232D">
              <w:rPr>
                <w:rFonts w:cs="Arial"/>
                <w:color w:val="auto"/>
              </w:rPr>
              <w:t>Officers have stated a</w:t>
            </w:r>
            <w:r w:rsidR="004809CF" w:rsidRPr="002F232D">
              <w:rPr>
                <w:rFonts w:cs="Arial"/>
                <w:color w:val="auto"/>
              </w:rPr>
              <w:t xml:space="preserve"> compliant procurement process was conducted following Part 19 of the Constitution.</w:t>
            </w:r>
            <w:r w:rsidR="00762C39" w:rsidRPr="002F232D">
              <w:rPr>
                <w:rFonts w:cs="Arial"/>
                <w:color w:val="auto"/>
              </w:rPr>
              <w:t xml:space="preserve"> and t</w:t>
            </w:r>
            <w:r w:rsidR="004809CF" w:rsidRPr="002F232D">
              <w:rPr>
                <w:rFonts w:cs="Arial"/>
                <w:color w:val="auto"/>
              </w:rPr>
              <w:t>he contract will be awarded using the OCC standard Low Value SERVICES Contract Terms and Conditions as the value is £185k including VAT.</w:t>
            </w:r>
          </w:p>
          <w:p w14:paraId="5C619CF3" w14:textId="77777777" w:rsidR="00762C39" w:rsidRPr="002F232D" w:rsidRDefault="00762C39" w:rsidP="00762C39">
            <w:pPr>
              <w:pStyle w:val="bParagraphtext"/>
              <w:numPr>
                <w:ilvl w:val="0"/>
                <w:numId w:val="0"/>
              </w:numPr>
              <w:tabs>
                <w:tab w:val="clear" w:pos="426"/>
                <w:tab w:val="left" w:pos="176"/>
              </w:tabs>
              <w:rPr>
                <w:rStyle w:val="bParagraphtextChar"/>
                <w:rFonts w:cs="Arial"/>
                <w:color w:val="auto"/>
              </w:rPr>
            </w:pPr>
            <w:r w:rsidRPr="002F232D">
              <w:rPr>
                <w:rStyle w:val="bParagraphtextChar"/>
                <w:rFonts w:cs="Arial"/>
                <w:color w:val="auto"/>
              </w:rPr>
              <w:t xml:space="preserve">No specific legal support has been sought on this procurement. </w:t>
            </w:r>
          </w:p>
          <w:p w14:paraId="4983C574" w14:textId="547A070E" w:rsidR="009F7291" w:rsidRPr="002F232D" w:rsidRDefault="00DB707A" w:rsidP="00762C39">
            <w:pPr>
              <w:pStyle w:val="bParagraphtext"/>
              <w:numPr>
                <w:ilvl w:val="0"/>
                <w:numId w:val="0"/>
              </w:numPr>
              <w:tabs>
                <w:tab w:val="clear" w:pos="426"/>
                <w:tab w:val="left" w:pos="176"/>
              </w:tabs>
              <w:rPr>
                <w:rStyle w:val="bParagraphtextChar"/>
                <w:rFonts w:cs="Arial"/>
                <w:color w:val="auto"/>
              </w:rPr>
            </w:pPr>
            <w:r w:rsidRPr="002F232D">
              <w:rPr>
                <w:rStyle w:val="bParagraphtextChar"/>
                <w:color w:val="auto"/>
              </w:rPr>
              <w:t xml:space="preserve">The </w:t>
            </w:r>
            <w:r w:rsidR="009F7291" w:rsidRPr="002F232D">
              <w:rPr>
                <w:rStyle w:val="bParagraphtextChar"/>
                <w:color w:val="auto"/>
              </w:rPr>
              <w:t xml:space="preserve">Deputy </w:t>
            </w:r>
            <w:r w:rsidR="0062617B" w:rsidRPr="002F232D">
              <w:rPr>
                <w:rStyle w:val="bParagraphtextChar"/>
                <w:color w:val="auto"/>
              </w:rPr>
              <w:t>Chief</w:t>
            </w:r>
            <w:r w:rsidR="009F7291" w:rsidRPr="002F232D">
              <w:rPr>
                <w:rStyle w:val="bParagraphtextChar"/>
                <w:color w:val="auto"/>
              </w:rPr>
              <w:t xml:space="preserve"> </w:t>
            </w:r>
            <w:r w:rsidR="0062617B" w:rsidRPr="002F232D">
              <w:rPr>
                <w:rStyle w:val="bParagraphtextChar"/>
                <w:color w:val="auto"/>
              </w:rPr>
              <w:t>Executive</w:t>
            </w:r>
            <w:r w:rsidR="009F7291" w:rsidRPr="002F232D">
              <w:rPr>
                <w:rStyle w:val="bParagraphtextChar"/>
                <w:color w:val="auto"/>
              </w:rPr>
              <w:t xml:space="preserve"> has the </w:t>
            </w:r>
            <w:r w:rsidR="0062617B" w:rsidRPr="002F232D">
              <w:rPr>
                <w:rStyle w:val="bParagraphtextChar"/>
                <w:color w:val="auto"/>
              </w:rPr>
              <w:t>authority</w:t>
            </w:r>
            <w:r w:rsidR="009F7291" w:rsidRPr="002F232D">
              <w:rPr>
                <w:rStyle w:val="bParagraphtextChar"/>
                <w:color w:val="auto"/>
              </w:rPr>
              <w:t xml:space="preserve"> t</w:t>
            </w:r>
            <w:r w:rsidR="0062617B" w:rsidRPr="002F232D">
              <w:rPr>
                <w:rStyle w:val="bParagraphtextChar"/>
                <w:color w:val="auto"/>
              </w:rPr>
              <w:t>o</w:t>
            </w:r>
            <w:r w:rsidR="009F7291" w:rsidRPr="002F232D">
              <w:rPr>
                <w:rStyle w:val="bParagraphtextChar"/>
                <w:color w:val="auto"/>
              </w:rPr>
              <w:t xml:space="preserve"> take the decision to award the </w:t>
            </w:r>
            <w:r w:rsidR="0062617B" w:rsidRPr="002F232D">
              <w:rPr>
                <w:rStyle w:val="bParagraphtextChar"/>
                <w:color w:val="auto"/>
              </w:rPr>
              <w:t>contract</w:t>
            </w:r>
            <w:r w:rsidR="009F7291" w:rsidRPr="002F232D">
              <w:rPr>
                <w:rStyle w:val="bParagraphtextChar"/>
                <w:color w:val="auto"/>
              </w:rPr>
              <w:t xml:space="preserve"> </w:t>
            </w:r>
            <w:r w:rsidR="0062617B" w:rsidRPr="002F232D">
              <w:rPr>
                <w:rStyle w:val="bParagraphtextChar"/>
                <w:color w:val="auto"/>
              </w:rPr>
              <w:t>under</w:t>
            </w:r>
            <w:r w:rsidR="009F7291" w:rsidRPr="002F232D">
              <w:rPr>
                <w:rStyle w:val="bParagraphtextChar"/>
                <w:color w:val="auto"/>
              </w:rPr>
              <w:t xml:space="preserve"> the part </w:t>
            </w:r>
            <w:r w:rsidR="00785930" w:rsidRPr="002F232D">
              <w:rPr>
                <w:rStyle w:val="bParagraphtextChar"/>
                <w:color w:val="auto"/>
              </w:rPr>
              <w:t xml:space="preserve">19.17 </w:t>
            </w:r>
            <w:r w:rsidR="009F7291" w:rsidRPr="002F232D">
              <w:rPr>
                <w:rStyle w:val="bParagraphtextChar"/>
                <w:color w:val="auto"/>
              </w:rPr>
              <w:t xml:space="preserve">of the </w:t>
            </w:r>
            <w:r w:rsidR="0062617B" w:rsidRPr="002F232D">
              <w:rPr>
                <w:rStyle w:val="bParagraphtextChar"/>
                <w:color w:val="auto"/>
              </w:rPr>
              <w:t>constitution</w:t>
            </w:r>
            <w:r w:rsidR="00785930" w:rsidRPr="002F232D">
              <w:rPr>
                <w:rStyle w:val="bParagraphtextChar"/>
                <w:color w:val="auto"/>
              </w:rPr>
              <w:t xml:space="preserve">. However as there is a </w:t>
            </w:r>
            <w:r w:rsidR="00D431A0" w:rsidRPr="002F232D">
              <w:rPr>
                <w:rStyle w:val="bParagraphtextChar"/>
                <w:color w:val="auto"/>
              </w:rPr>
              <w:t>Cabinet</w:t>
            </w:r>
            <w:r w:rsidR="00785930" w:rsidRPr="002F232D">
              <w:rPr>
                <w:rStyle w:val="bParagraphtextChar"/>
                <w:color w:val="auto"/>
              </w:rPr>
              <w:t xml:space="preserve"> </w:t>
            </w:r>
            <w:r w:rsidR="00D431A0" w:rsidRPr="002F232D">
              <w:rPr>
                <w:rStyle w:val="bParagraphtextChar"/>
                <w:color w:val="auto"/>
              </w:rPr>
              <w:t>delegation</w:t>
            </w:r>
            <w:r w:rsidR="00785930" w:rsidRPr="002F232D">
              <w:rPr>
                <w:rStyle w:val="bParagraphtextChar"/>
                <w:color w:val="auto"/>
              </w:rPr>
              <w:t xml:space="preserve"> which relates to </w:t>
            </w:r>
            <w:r w:rsidR="004824CD" w:rsidRPr="002F232D">
              <w:rPr>
                <w:rStyle w:val="bParagraphtextChar"/>
                <w:color w:val="auto"/>
              </w:rPr>
              <w:t xml:space="preserve"> this matter </w:t>
            </w:r>
            <w:r w:rsidR="00D431A0" w:rsidRPr="002F232D">
              <w:rPr>
                <w:rStyle w:val="bParagraphtextChar"/>
                <w:color w:val="auto"/>
              </w:rPr>
              <w:t>consultation</w:t>
            </w:r>
            <w:r w:rsidR="00785930" w:rsidRPr="002F232D">
              <w:rPr>
                <w:rStyle w:val="bParagraphtextChar"/>
                <w:color w:val="auto"/>
              </w:rPr>
              <w:t xml:space="preserve"> with </w:t>
            </w:r>
            <w:r w:rsidR="00D431A0" w:rsidRPr="002F232D">
              <w:rPr>
                <w:rStyle w:val="bParagraphtextChar"/>
                <w:color w:val="auto"/>
              </w:rPr>
              <w:t>Head of Finance and head of Law and Governance is also required</w:t>
            </w:r>
            <w:r w:rsidR="009D09BD" w:rsidRPr="002F232D">
              <w:rPr>
                <w:rStyle w:val="bParagraphtextChar"/>
                <w:color w:val="auto"/>
              </w:rPr>
              <w:t xml:space="preserve"> prior to taking the decision. </w:t>
            </w:r>
          </w:p>
          <w:p w14:paraId="1FCE8249" w14:textId="77777777" w:rsidR="00762C39" w:rsidRPr="002F232D" w:rsidRDefault="00762C39" w:rsidP="00372A82">
            <w:pPr>
              <w:pStyle w:val="bParagraphtext"/>
              <w:numPr>
                <w:ilvl w:val="0"/>
                <w:numId w:val="0"/>
              </w:numPr>
              <w:tabs>
                <w:tab w:val="clear" w:pos="426"/>
                <w:tab w:val="left" w:pos="176"/>
              </w:tabs>
              <w:rPr>
                <w:rFonts w:cs="Arial"/>
                <w:color w:val="auto"/>
              </w:rPr>
            </w:pPr>
          </w:p>
          <w:p w14:paraId="19530A44" w14:textId="77777777" w:rsidR="00762C39" w:rsidRPr="002F232D" w:rsidRDefault="00762C39" w:rsidP="00372A82">
            <w:pPr>
              <w:pStyle w:val="bParagraphtext"/>
              <w:numPr>
                <w:ilvl w:val="0"/>
                <w:numId w:val="0"/>
              </w:numPr>
              <w:tabs>
                <w:tab w:val="clear" w:pos="426"/>
                <w:tab w:val="left" w:pos="176"/>
              </w:tabs>
              <w:rPr>
                <w:rFonts w:cs="Arial"/>
                <w:color w:val="auto"/>
              </w:rPr>
            </w:pPr>
          </w:p>
          <w:p w14:paraId="11BAD199" w14:textId="3F5AFE22" w:rsidR="00372A82" w:rsidRPr="002F232D" w:rsidRDefault="00372A82" w:rsidP="00CB7A4F">
            <w:pPr>
              <w:rPr>
                <w:rFonts w:cs="Arial"/>
                <w:color w:val="auto"/>
              </w:rPr>
            </w:pPr>
          </w:p>
        </w:tc>
        <w:tc>
          <w:tcPr>
            <w:tcW w:w="3026" w:type="dxa"/>
          </w:tcPr>
          <w:p w14:paraId="47079A0C"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09AD926F" w14:textId="20D4412F" w:rsidR="001A1BA1" w:rsidRDefault="004824CD" w:rsidP="001A1BA1">
            <w:pPr>
              <w:pStyle w:val="Bulletpoints"/>
              <w:numPr>
                <w:ilvl w:val="0"/>
                <w:numId w:val="0"/>
              </w:numPr>
              <w:rPr>
                <w:rFonts w:cs="Arial"/>
                <w:color w:val="auto"/>
              </w:rPr>
            </w:pPr>
            <w:r>
              <w:rPr>
                <w:rFonts w:cs="Arial"/>
                <w:color w:val="auto"/>
              </w:rPr>
              <w:t>Joanna Williams</w:t>
            </w:r>
          </w:p>
          <w:p w14:paraId="0BD7D92D" w14:textId="10D3593A" w:rsidR="004824CD" w:rsidRPr="00C55247" w:rsidRDefault="004824CD" w:rsidP="001A1BA1">
            <w:pPr>
              <w:pStyle w:val="Bulletpoints"/>
              <w:numPr>
                <w:ilvl w:val="0"/>
                <w:numId w:val="0"/>
              </w:numPr>
              <w:rPr>
                <w:rFonts w:cs="Arial"/>
                <w:color w:val="auto"/>
              </w:rPr>
            </w:pPr>
            <w:r>
              <w:rPr>
                <w:rFonts w:cs="Arial"/>
                <w:color w:val="auto"/>
              </w:rPr>
              <w:t xml:space="preserve">Senior Lawyer </w:t>
            </w:r>
          </w:p>
          <w:p w14:paraId="62D75828" w14:textId="77777777"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7A5DDA55" w14:textId="09D571F5" w:rsidR="00372A82" w:rsidRPr="00C55247" w:rsidRDefault="004824CD" w:rsidP="001A1BA1">
            <w:pPr>
              <w:pStyle w:val="Bulletpoints"/>
              <w:numPr>
                <w:ilvl w:val="0"/>
                <w:numId w:val="0"/>
              </w:numPr>
              <w:rPr>
                <w:rFonts w:cs="Arial"/>
                <w:color w:val="auto"/>
              </w:rPr>
            </w:pPr>
            <w:r>
              <w:rPr>
                <w:rFonts w:cs="Arial"/>
                <w:color w:val="auto"/>
              </w:rPr>
              <w:t>22/</w:t>
            </w:r>
            <w:r w:rsidR="0007063C">
              <w:rPr>
                <w:rFonts w:cs="Arial"/>
                <w:color w:val="auto"/>
              </w:rPr>
              <w:t>10/25</w:t>
            </w:r>
          </w:p>
        </w:tc>
      </w:tr>
      <w:tr w:rsidR="001A1BA1" w:rsidRPr="003E4C33" w14:paraId="6F38FEBF" w14:textId="77777777" w:rsidTr="00BD1F7A">
        <w:tc>
          <w:tcPr>
            <w:tcW w:w="1883" w:type="dxa"/>
          </w:tcPr>
          <w:p w14:paraId="48C94DFF" w14:textId="77777777" w:rsidR="001A1BA1" w:rsidRPr="003E4C33" w:rsidRDefault="001A1BA1" w:rsidP="00C076B9">
            <w:pPr>
              <w:pStyle w:val="Bulletpoints"/>
              <w:numPr>
                <w:ilvl w:val="0"/>
                <w:numId w:val="0"/>
              </w:numPr>
              <w:rPr>
                <w:rFonts w:cs="Arial"/>
                <w:b/>
              </w:rPr>
            </w:pPr>
            <w:r w:rsidRPr="003E4C33">
              <w:rPr>
                <w:rFonts w:cs="Arial"/>
                <w:b/>
              </w:rPr>
              <w:t>Other implications</w:t>
            </w:r>
          </w:p>
        </w:tc>
        <w:tc>
          <w:tcPr>
            <w:tcW w:w="4379" w:type="dxa"/>
          </w:tcPr>
          <w:p w14:paraId="6DC2105E" w14:textId="54032322" w:rsidR="00CB7A4F" w:rsidRPr="00C55247" w:rsidRDefault="004809CF" w:rsidP="00372A82">
            <w:pPr>
              <w:pStyle w:val="bParagraphtext"/>
              <w:numPr>
                <w:ilvl w:val="0"/>
                <w:numId w:val="0"/>
              </w:numPr>
              <w:rPr>
                <w:rFonts w:cs="Arial"/>
                <w:color w:val="auto"/>
              </w:rPr>
            </w:pPr>
            <w:r>
              <w:rPr>
                <w:rFonts w:cs="Arial"/>
                <w:color w:val="auto"/>
              </w:rPr>
              <w:t>N/a there are no equalities impacts.</w:t>
            </w:r>
          </w:p>
        </w:tc>
        <w:tc>
          <w:tcPr>
            <w:tcW w:w="3026" w:type="dxa"/>
          </w:tcPr>
          <w:p w14:paraId="2F3F06A0" w14:textId="77777777" w:rsidR="004809CF" w:rsidRPr="00C55247" w:rsidRDefault="004809CF" w:rsidP="004809CF">
            <w:pPr>
              <w:pStyle w:val="Bulletpoints"/>
              <w:numPr>
                <w:ilvl w:val="0"/>
                <w:numId w:val="0"/>
              </w:numPr>
              <w:rPr>
                <w:rFonts w:cs="Arial"/>
                <w:b/>
                <w:color w:val="auto"/>
              </w:rPr>
            </w:pPr>
            <w:r w:rsidRPr="00C55247">
              <w:rPr>
                <w:rFonts w:cs="Arial"/>
                <w:b/>
                <w:color w:val="auto"/>
              </w:rPr>
              <w:t>Completed by:</w:t>
            </w:r>
          </w:p>
          <w:p w14:paraId="1FEDFBE6" w14:textId="77777777" w:rsidR="004809CF" w:rsidRDefault="004809CF" w:rsidP="004809CF">
            <w:pPr>
              <w:pStyle w:val="Bulletpoints"/>
              <w:numPr>
                <w:ilvl w:val="0"/>
                <w:numId w:val="0"/>
              </w:numPr>
              <w:rPr>
                <w:rFonts w:cs="Arial"/>
                <w:color w:val="auto"/>
              </w:rPr>
            </w:pPr>
            <w:r>
              <w:rPr>
                <w:rFonts w:cs="Arial"/>
                <w:color w:val="auto"/>
              </w:rPr>
              <w:t>Juliet Nicholas</w:t>
            </w:r>
          </w:p>
          <w:p w14:paraId="07E55CE2" w14:textId="77777777" w:rsidR="004809CF" w:rsidRPr="00C55247" w:rsidRDefault="004809CF" w:rsidP="004809CF">
            <w:pPr>
              <w:pStyle w:val="Bulletpoints"/>
              <w:numPr>
                <w:ilvl w:val="0"/>
                <w:numId w:val="0"/>
              </w:numPr>
              <w:rPr>
                <w:rFonts w:cs="Arial"/>
                <w:color w:val="auto"/>
              </w:rPr>
            </w:pPr>
            <w:r>
              <w:rPr>
                <w:rFonts w:cs="Arial"/>
                <w:color w:val="auto"/>
              </w:rPr>
              <w:t>Energy and Sustainability Manager</w:t>
            </w:r>
          </w:p>
          <w:p w14:paraId="0528F1AB" w14:textId="77777777" w:rsidR="004809CF" w:rsidRPr="00C55247" w:rsidRDefault="004809CF" w:rsidP="004809CF">
            <w:pPr>
              <w:pStyle w:val="Bulletpoints"/>
              <w:numPr>
                <w:ilvl w:val="0"/>
                <w:numId w:val="0"/>
              </w:numPr>
              <w:rPr>
                <w:rFonts w:cs="Arial"/>
                <w:b/>
                <w:color w:val="auto"/>
              </w:rPr>
            </w:pPr>
            <w:r w:rsidRPr="00C55247">
              <w:rPr>
                <w:rFonts w:cs="Arial"/>
                <w:b/>
                <w:color w:val="auto"/>
              </w:rPr>
              <w:t>Date:</w:t>
            </w:r>
          </w:p>
          <w:p w14:paraId="68285B07" w14:textId="0ECBDD01" w:rsidR="001A1BA1" w:rsidRPr="00C55247" w:rsidRDefault="004809CF" w:rsidP="004809CF">
            <w:pPr>
              <w:pStyle w:val="Bulletpoints"/>
              <w:numPr>
                <w:ilvl w:val="0"/>
                <w:numId w:val="0"/>
              </w:numPr>
              <w:rPr>
                <w:rFonts w:cs="Arial"/>
                <w:color w:val="auto"/>
              </w:rPr>
            </w:pPr>
            <w:r>
              <w:rPr>
                <w:rFonts w:cs="Arial"/>
                <w:color w:val="auto"/>
              </w:rPr>
              <w:t>20/10/2025</w:t>
            </w:r>
          </w:p>
        </w:tc>
      </w:tr>
      <w:tr w:rsidR="007967CA" w:rsidRPr="003E4C33" w14:paraId="2C18B277" w14:textId="77777777" w:rsidTr="00BD1F7A">
        <w:tc>
          <w:tcPr>
            <w:tcW w:w="1883" w:type="dxa"/>
          </w:tcPr>
          <w:p w14:paraId="4EB49136" w14:textId="6AAF52DF" w:rsidR="007967CA" w:rsidRPr="003E4C33" w:rsidRDefault="007967CA" w:rsidP="00C076B9">
            <w:pPr>
              <w:pStyle w:val="Bulletpoints"/>
              <w:numPr>
                <w:ilvl w:val="0"/>
                <w:numId w:val="0"/>
              </w:numPr>
              <w:rPr>
                <w:rFonts w:cs="Arial"/>
                <w:b/>
              </w:rPr>
            </w:pPr>
            <w:r w:rsidRPr="003E4C33">
              <w:rPr>
                <w:rFonts w:cs="Arial"/>
                <w:b/>
              </w:rPr>
              <w:t xml:space="preserve">Member declared interests </w:t>
            </w:r>
          </w:p>
        </w:tc>
        <w:tc>
          <w:tcPr>
            <w:tcW w:w="4379" w:type="dxa"/>
          </w:tcPr>
          <w:p w14:paraId="0033AA4D" w14:textId="512B22E2" w:rsidR="007967CA" w:rsidRPr="00C55247" w:rsidRDefault="004809CF" w:rsidP="00372A82">
            <w:pPr>
              <w:pStyle w:val="bParagraphtext"/>
              <w:numPr>
                <w:ilvl w:val="0"/>
                <w:numId w:val="0"/>
              </w:numPr>
              <w:rPr>
                <w:rFonts w:cs="Arial"/>
                <w:color w:val="auto"/>
              </w:rPr>
            </w:pPr>
            <w:r>
              <w:rPr>
                <w:rFonts w:cs="Arial"/>
                <w:color w:val="auto"/>
              </w:rPr>
              <w:t>There are no</w:t>
            </w:r>
            <w:r w:rsidR="007967CA" w:rsidRPr="00C55247">
              <w:rPr>
                <w:rFonts w:cs="Arial"/>
                <w:color w:val="auto"/>
              </w:rPr>
              <w:t xml:space="preserve"> member </w:t>
            </w:r>
            <w:r>
              <w:rPr>
                <w:rFonts w:cs="Arial"/>
                <w:color w:val="auto"/>
              </w:rPr>
              <w:t>declared interests.</w:t>
            </w:r>
            <w:r w:rsidR="007967CA" w:rsidRPr="00C55247">
              <w:rPr>
                <w:rFonts w:cs="Arial"/>
                <w:color w:val="auto"/>
              </w:rPr>
              <w:t xml:space="preserve"> </w:t>
            </w:r>
          </w:p>
        </w:tc>
        <w:tc>
          <w:tcPr>
            <w:tcW w:w="3026" w:type="dxa"/>
          </w:tcPr>
          <w:p w14:paraId="7424BC62" w14:textId="77777777" w:rsidR="007967CA" w:rsidRPr="00C55247" w:rsidRDefault="007967CA" w:rsidP="007967CA">
            <w:pPr>
              <w:pStyle w:val="Bulletpoints"/>
              <w:numPr>
                <w:ilvl w:val="0"/>
                <w:numId w:val="0"/>
              </w:numPr>
              <w:rPr>
                <w:rFonts w:cs="Arial"/>
                <w:b/>
                <w:color w:val="auto"/>
              </w:rPr>
            </w:pPr>
            <w:r w:rsidRPr="00C55247">
              <w:rPr>
                <w:rFonts w:cs="Arial"/>
                <w:b/>
                <w:color w:val="auto"/>
              </w:rPr>
              <w:t>Completed by:</w:t>
            </w:r>
          </w:p>
          <w:p w14:paraId="405BF3DD" w14:textId="02BF6B09" w:rsidR="007967CA" w:rsidRDefault="004809CF" w:rsidP="007967CA">
            <w:pPr>
              <w:pStyle w:val="Bulletpoints"/>
              <w:numPr>
                <w:ilvl w:val="0"/>
                <w:numId w:val="0"/>
              </w:numPr>
              <w:rPr>
                <w:rFonts w:cs="Arial"/>
                <w:color w:val="auto"/>
              </w:rPr>
            </w:pPr>
            <w:r>
              <w:rPr>
                <w:rFonts w:cs="Arial"/>
                <w:color w:val="auto"/>
              </w:rPr>
              <w:t>Juliet Nicholas</w:t>
            </w:r>
          </w:p>
          <w:p w14:paraId="55754321" w14:textId="3902C49E" w:rsidR="004809CF" w:rsidRPr="00C55247" w:rsidRDefault="004809CF" w:rsidP="007967CA">
            <w:pPr>
              <w:pStyle w:val="Bulletpoints"/>
              <w:numPr>
                <w:ilvl w:val="0"/>
                <w:numId w:val="0"/>
              </w:numPr>
              <w:rPr>
                <w:rFonts w:cs="Arial"/>
                <w:color w:val="auto"/>
              </w:rPr>
            </w:pPr>
            <w:r>
              <w:rPr>
                <w:rFonts w:cs="Arial"/>
                <w:color w:val="auto"/>
              </w:rPr>
              <w:lastRenderedPageBreak/>
              <w:t>Energy and Sustainability Manager</w:t>
            </w:r>
          </w:p>
          <w:p w14:paraId="22A72D4B" w14:textId="77777777" w:rsidR="007967CA" w:rsidRPr="00C55247" w:rsidRDefault="007967CA" w:rsidP="007967CA">
            <w:pPr>
              <w:pStyle w:val="Bulletpoints"/>
              <w:numPr>
                <w:ilvl w:val="0"/>
                <w:numId w:val="0"/>
              </w:numPr>
              <w:rPr>
                <w:rFonts w:cs="Arial"/>
                <w:b/>
                <w:color w:val="auto"/>
              </w:rPr>
            </w:pPr>
            <w:r w:rsidRPr="00C55247">
              <w:rPr>
                <w:rFonts w:cs="Arial"/>
                <w:b/>
                <w:color w:val="auto"/>
              </w:rPr>
              <w:t>Date:</w:t>
            </w:r>
          </w:p>
          <w:p w14:paraId="5918EBBE" w14:textId="474C973F" w:rsidR="007967CA" w:rsidRPr="00C55247" w:rsidRDefault="004809CF" w:rsidP="007967CA">
            <w:pPr>
              <w:pStyle w:val="Bulletpoints"/>
              <w:numPr>
                <w:ilvl w:val="0"/>
                <w:numId w:val="0"/>
              </w:numPr>
              <w:rPr>
                <w:rFonts w:cs="Arial"/>
                <w:b/>
                <w:color w:val="auto"/>
              </w:rPr>
            </w:pPr>
            <w:r>
              <w:rPr>
                <w:rFonts w:cs="Arial"/>
                <w:color w:val="auto"/>
              </w:rPr>
              <w:t>20/10/2025</w:t>
            </w:r>
          </w:p>
        </w:tc>
      </w:tr>
    </w:tbl>
    <w:p w14:paraId="7891D21B" w14:textId="78C294AB" w:rsidR="00FB3B71" w:rsidRPr="003E4C33" w:rsidRDefault="00FB3B71" w:rsidP="002B0329">
      <w:pPr>
        <w:pStyle w:val="bParagraphtext"/>
        <w:numPr>
          <w:ilvl w:val="0"/>
          <w:numId w:val="0"/>
        </w:numPr>
        <w:rPr>
          <w:rFonts w:cs="Arial"/>
          <w:b/>
        </w:rPr>
      </w:pPr>
    </w:p>
    <w:p w14:paraId="5BCE4DEB" w14:textId="02514305" w:rsidR="006C767F" w:rsidRPr="003E4C33" w:rsidRDefault="006C767F"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21CA4" w14:textId="359272A3" w:rsidR="006C767F" w:rsidRPr="003E4C33" w:rsidRDefault="006C767F" w:rsidP="008B4E15">
            <w:pPr>
              <w:jc w:val="center"/>
              <w:rPr>
                <w:rFonts w:cs="Arial"/>
              </w:rPr>
            </w:pPr>
            <w:r w:rsidRPr="003E4C33">
              <w:rPr>
                <w:rStyle w:val="Firstpagetablebold"/>
                <w:rFonts w:cs="Arial"/>
              </w:rPr>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FD4075" w14:textId="5ADD2AF3" w:rsidR="006C767F" w:rsidRPr="003E4C33" w:rsidRDefault="007B4C81" w:rsidP="12E744BB">
            <w:pPr>
              <w:rPr>
                <w:rFonts w:eastAsia="Arial" w:cs="Arial"/>
              </w:rPr>
            </w:pPr>
            <w:r>
              <w:rPr>
                <w:rStyle w:val="Firstpagetablebold"/>
                <w:color w:val="auto"/>
              </w:rPr>
              <w:t>N</w:t>
            </w:r>
            <w:r>
              <w:rPr>
                <w:rStyle w:val="Firstpagetablebold"/>
              </w:rPr>
              <w:t xml:space="preserve">ot applicable </w:t>
            </w: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tcPr>
          <w:p w14:paraId="10A18498" w14:textId="2D688056" w:rsidR="00E87F7A" w:rsidRPr="003E4C33" w:rsidRDefault="004809CF" w:rsidP="00A46E98">
            <w:pPr>
              <w:rPr>
                <w:rFonts w:cs="Arial"/>
              </w:rPr>
            </w:pPr>
            <w:r>
              <w:rPr>
                <w:rFonts w:cs="Arial"/>
              </w:rPr>
              <w:t>Juliet Nicholas</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tcPr>
          <w:p w14:paraId="4290E9E4" w14:textId="259E401F" w:rsidR="00E87F7A" w:rsidRPr="00C55247" w:rsidRDefault="004809CF" w:rsidP="00A46E98">
            <w:pPr>
              <w:rPr>
                <w:rFonts w:cs="Arial"/>
                <w:color w:val="auto"/>
              </w:rPr>
            </w:pPr>
            <w:r>
              <w:rPr>
                <w:rFonts w:cs="Arial"/>
                <w:color w:val="auto"/>
              </w:rPr>
              <w:t>Energy and Sustainability Manager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tcPr>
          <w:p w14:paraId="64678455" w14:textId="53D02F87" w:rsidR="00E87F7A" w:rsidRPr="00C55247" w:rsidRDefault="004809CF" w:rsidP="00A46E98">
            <w:pPr>
              <w:rPr>
                <w:rFonts w:cs="Arial"/>
                <w:color w:val="auto"/>
              </w:rPr>
            </w:pPr>
            <w:r>
              <w:rPr>
                <w:rFonts w:cs="Arial"/>
                <w:color w:val="auto"/>
              </w:rPr>
              <w:t>Property Services</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tcPr>
          <w:p w14:paraId="217B4852" w14:textId="67F8AF8E" w:rsidR="00E87F7A" w:rsidRPr="00C55247" w:rsidRDefault="004809CF" w:rsidP="00A46E98">
            <w:pPr>
              <w:rPr>
                <w:rStyle w:val="Hyperlink"/>
                <w:rFonts w:cs="Arial"/>
                <w:color w:val="auto"/>
              </w:rPr>
            </w:pPr>
            <w:r>
              <w:t>jnicholas@oxford.gov.uk</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536"/>
        <w:gridCol w:w="1417"/>
      </w:tblGrid>
      <w:tr w:rsidR="001A1BA1" w:rsidRPr="003E4C33" w14:paraId="55292CC4" w14:textId="77777777" w:rsidTr="6705CB2F">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536" w:type="dxa"/>
            <w:vAlign w:val="center"/>
          </w:tcPr>
          <w:p w14:paraId="66370075" w14:textId="77777777" w:rsidR="001A1BA1" w:rsidRPr="003E4C33" w:rsidRDefault="001A1BA1" w:rsidP="000772EB">
            <w:pPr>
              <w:rPr>
                <w:b/>
                <w:i/>
              </w:rPr>
            </w:pPr>
            <w:r w:rsidRPr="003E4C33">
              <w:rPr>
                <w:b/>
                <w:i/>
              </w:rPr>
              <w:t>Name and job title</w:t>
            </w:r>
          </w:p>
        </w:tc>
        <w:tc>
          <w:tcPr>
            <w:tcW w:w="1417" w:type="dxa"/>
            <w:vAlign w:val="center"/>
          </w:tcPr>
          <w:p w14:paraId="67196AF5" w14:textId="77777777" w:rsidR="001A1BA1" w:rsidRPr="003E4C33" w:rsidRDefault="001A1BA1" w:rsidP="000772EB">
            <w:pPr>
              <w:rPr>
                <w:b/>
                <w:i/>
              </w:rPr>
            </w:pPr>
            <w:r w:rsidRPr="003E4C33">
              <w:rPr>
                <w:b/>
                <w:i/>
              </w:rPr>
              <w:t xml:space="preserve">Date </w:t>
            </w:r>
          </w:p>
        </w:tc>
      </w:tr>
      <w:tr w:rsidR="001A1BA1" w:rsidRPr="003E4C33" w14:paraId="5F3F749A" w14:textId="77777777" w:rsidTr="6705CB2F">
        <w:trPr>
          <w:trHeight w:val="516"/>
        </w:trPr>
        <w:tc>
          <w:tcPr>
            <w:tcW w:w="3119" w:type="dxa"/>
            <w:vAlign w:val="center"/>
          </w:tcPr>
          <w:p w14:paraId="27A74D65" w14:textId="77777777" w:rsidR="001A1BA1" w:rsidRPr="003E4C33" w:rsidRDefault="001A1BA1" w:rsidP="000772EB">
            <w:pPr>
              <w:spacing w:before="120"/>
              <w:rPr>
                <w:b/>
              </w:rPr>
            </w:pPr>
            <w:r w:rsidRPr="003E4C33">
              <w:rPr>
                <w:b/>
              </w:rPr>
              <w:t>Senior officer</w:t>
            </w:r>
          </w:p>
          <w:p w14:paraId="5850EEA3" w14:textId="449855D8" w:rsidR="001A1BA1" w:rsidRPr="003E4C33" w:rsidRDefault="001A1BA1" w:rsidP="000772EB">
            <w:pPr>
              <w:spacing w:before="120"/>
            </w:pPr>
            <w:r>
              <w:t xml:space="preserve">e.g. the relevant service manager / </w:t>
            </w:r>
            <w:r w:rsidR="0055056C">
              <w:t>Director</w:t>
            </w:r>
            <w:r>
              <w:t xml:space="preserve"> where the decision maker is the Chief Executive or </w:t>
            </w:r>
            <w:r w:rsidR="0055056C">
              <w:t>a Deputy Chief Executive</w:t>
            </w:r>
            <w:r>
              <w:t>.</w:t>
            </w:r>
          </w:p>
        </w:tc>
        <w:tc>
          <w:tcPr>
            <w:tcW w:w="4536" w:type="dxa"/>
            <w:vAlign w:val="center"/>
          </w:tcPr>
          <w:p w14:paraId="33DFBFFA" w14:textId="790DE73B" w:rsidR="001A1BA1" w:rsidRPr="00C55247" w:rsidRDefault="00953806" w:rsidP="000772EB">
            <w:pPr>
              <w:rPr>
                <w:color w:val="A6A6A6" w:themeColor="background1" w:themeShade="A6"/>
              </w:rPr>
            </w:pPr>
            <w:r w:rsidRPr="00953806">
              <w:rPr>
                <w:rStyle w:val="Firstpagetablebold"/>
                <w:b w:val="0"/>
                <w:color w:val="auto"/>
              </w:rPr>
              <w:t>N</w:t>
            </w:r>
            <w:r w:rsidRPr="00953806">
              <w:rPr>
                <w:rStyle w:val="Firstpagetablebold"/>
                <w:b w:val="0"/>
              </w:rPr>
              <w:t>erys Parry</w:t>
            </w:r>
            <w:r>
              <w:rPr>
                <w:rStyle w:val="Firstpagetablebold"/>
                <w:b w:val="0"/>
              </w:rPr>
              <w:t>,</w:t>
            </w:r>
            <w:r>
              <w:rPr>
                <w:rStyle w:val="Firstpagetablebold"/>
              </w:rPr>
              <w:t xml:space="preserve"> </w:t>
            </w:r>
            <w:r w:rsidRPr="00953806">
              <w:rPr>
                <w:rStyle w:val="Firstpagetablebold"/>
                <w:b w:val="0"/>
                <w:bCs/>
              </w:rPr>
              <w:t>Director of Housing</w:t>
            </w:r>
          </w:p>
        </w:tc>
        <w:tc>
          <w:tcPr>
            <w:tcW w:w="1417" w:type="dxa"/>
            <w:vAlign w:val="center"/>
          </w:tcPr>
          <w:p w14:paraId="29D4AEB7" w14:textId="02AA74D9" w:rsidR="001A1BA1" w:rsidRPr="003E4C33" w:rsidRDefault="00953806" w:rsidP="000772EB">
            <w:r>
              <w:t>20/11/25</w:t>
            </w:r>
          </w:p>
        </w:tc>
      </w:tr>
      <w:tr w:rsidR="001A1BA1" w:rsidRPr="003E4C33" w14:paraId="5B08396D" w14:textId="77777777" w:rsidTr="6705CB2F">
        <w:trPr>
          <w:trHeight w:val="1161"/>
        </w:trPr>
        <w:tc>
          <w:tcPr>
            <w:tcW w:w="3119" w:type="dxa"/>
          </w:tcPr>
          <w:p w14:paraId="206914C9" w14:textId="56FA33D0" w:rsidR="001A1BA1" w:rsidRPr="003E4C33" w:rsidRDefault="00D566E2" w:rsidP="000772EB">
            <w:pPr>
              <w:spacing w:before="120"/>
              <w:rPr>
                <w:b/>
              </w:rPr>
            </w:pPr>
            <w:r>
              <w:rPr>
                <w:b/>
              </w:rPr>
              <w:t>Group Finance Director</w:t>
            </w:r>
          </w:p>
          <w:p w14:paraId="7A4F1884" w14:textId="76E91C55" w:rsidR="001A1BA1" w:rsidRPr="003E4C33" w:rsidRDefault="42DDDBA8" w:rsidP="000772EB">
            <w:pPr>
              <w:spacing w:before="120"/>
            </w:pPr>
            <w:r w:rsidRPr="003E4C33">
              <w:t>Where required</w:t>
            </w:r>
            <w:r w:rsidR="0AFF6EB2" w:rsidRPr="003E4C33">
              <w:t xml:space="preserve"> by the Constitution or conditions of the delegation</w:t>
            </w:r>
          </w:p>
        </w:tc>
        <w:tc>
          <w:tcPr>
            <w:tcW w:w="4536" w:type="dxa"/>
            <w:vAlign w:val="center"/>
          </w:tcPr>
          <w:p w14:paraId="476C7451" w14:textId="451F55DD" w:rsidR="001A1BA1" w:rsidRPr="003E4C33" w:rsidRDefault="00580D8A" w:rsidP="000772EB">
            <w:r>
              <w:t>Nigel Kennedy, Group Finance Director</w:t>
            </w:r>
          </w:p>
        </w:tc>
        <w:tc>
          <w:tcPr>
            <w:tcW w:w="1417" w:type="dxa"/>
            <w:vAlign w:val="center"/>
          </w:tcPr>
          <w:p w14:paraId="26B724B7" w14:textId="3709CDF6" w:rsidR="001A1BA1" w:rsidRPr="003E4C33" w:rsidRDefault="00BD2905" w:rsidP="000772EB">
            <w:r>
              <w:t>21/10/25</w:t>
            </w:r>
          </w:p>
        </w:tc>
      </w:tr>
      <w:tr w:rsidR="001A1BA1" w:rsidRPr="003E4C33" w14:paraId="54CB0EFE" w14:textId="77777777" w:rsidTr="6705CB2F">
        <w:trPr>
          <w:trHeight w:val="834"/>
        </w:trPr>
        <w:tc>
          <w:tcPr>
            <w:tcW w:w="3119" w:type="dxa"/>
          </w:tcPr>
          <w:p w14:paraId="658FE63C" w14:textId="657649B8" w:rsidR="001A1BA1" w:rsidRPr="003E4C33" w:rsidRDefault="00C56120" w:rsidP="000772EB">
            <w:pPr>
              <w:spacing w:before="120"/>
              <w:rPr>
                <w:b/>
              </w:rPr>
            </w:pPr>
            <w:r>
              <w:rPr>
                <w:b/>
              </w:rPr>
              <w:t>Director of Law, Governance and Strategy</w:t>
            </w:r>
          </w:p>
          <w:p w14:paraId="5C806B41" w14:textId="50B1676F" w:rsidR="001A1BA1" w:rsidRPr="003E4C33" w:rsidRDefault="42DDDBA8" w:rsidP="000772EB">
            <w:pPr>
              <w:spacing w:before="120"/>
            </w:pPr>
            <w:r w:rsidRPr="003E4C33">
              <w:t>Where required</w:t>
            </w:r>
            <w:r w:rsidR="00B6369C" w:rsidRPr="003E4C33">
              <w:t xml:space="preserve"> by the Constitution or conditions of the delegation</w:t>
            </w:r>
          </w:p>
        </w:tc>
        <w:tc>
          <w:tcPr>
            <w:tcW w:w="4536" w:type="dxa"/>
            <w:vAlign w:val="center"/>
          </w:tcPr>
          <w:p w14:paraId="459F8630" w14:textId="7F024C61" w:rsidR="001A1BA1" w:rsidRPr="003E4C33" w:rsidRDefault="00580D8A" w:rsidP="000772EB">
            <w:r w:rsidRPr="00580D8A">
              <w:t>Emma Griffiths</w:t>
            </w:r>
            <w:r>
              <w:t>, Legal Service Manager</w:t>
            </w:r>
            <w:r w:rsidR="00C66CFF">
              <w:t xml:space="preserve"> for and on behalf of the Director of Law, Governance &amp; Strategy</w:t>
            </w:r>
          </w:p>
        </w:tc>
        <w:tc>
          <w:tcPr>
            <w:tcW w:w="1417" w:type="dxa"/>
          </w:tcPr>
          <w:p w14:paraId="06641C0E" w14:textId="77777777" w:rsidR="001A1BA1" w:rsidRDefault="001A1BA1" w:rsidP="000772EB"/>
          <w:p w14:paraId="116377EA" w14:textId="77777777" w:rsidR="00C66CFF" w:rsidRDefault="00C66CFF" w:rsidP="000772EB"/>
          <w:p w14:paraId="13EBB6A8" w14:textId="069FD09F" w:rsidR="00C66CFF" w:rsidRPr="003E4C33" w:rsidRDefault="00C66CFF" w:rsidP="000772EB">
            <w:r>
              <w:t>22/10/25</w:t>
            </w:r>
          </w:p>
        </w:tc>
      </w:tr>
      <w:tr w:rsidR="001A1BA1" w:rsidRPr="003E4C33" w14:paraId="266E8AC6" w14:textId="77777777" w:rsidTr="6705CB2F">
        <w:trPr>
          <w:trHeight w:val="562"/>
        </w:trPr>
        <w:tc>
          <w:tcPr>
            <w:tcW w:w="3119" w:type="dxa"/>
            <w:vAlign w:val="center"/>
          </w:tcPr>
          <w:p w14:paraId="0D0AF673" w14:textId="77777777" w:rsidR="001A1BA1" w:rsidRPr="003E4C33" w:rsidRDefault="001A1BA1" w:rsidP="000772EB">
            <w:pPr>
              <w:spacing w:before="120"/>
              <w:rPr>
                <w:b/>
              </w:rPr>
            </w:pPr>
            <w:r w:rsidRPr="003E4C33">
              <w:rPr>
                <w:b/>
              </w:rPr>
              <w:t>Cabinet Member(s)</w:t>
            </w:r>
          </w:p>
          <w:p w14:paraId="789D5AE3" w14:textId="4A107205" w:rsidR="001A1BA1" w:rsidRPr="003E4C33" w:rsidRDefault="42DDDBA8" w:rsidP="008A34D3">
            <w:pPr>
              <w:spacing w:before="120"/>
            </w:pPr>
            <w:r w:rsidRPr="003E4C33">
              <w:lastRenderedPageBreak/>
              <w:t xml:space="preserve">Where required </w:t>
            </w:r>
            <w:r w:rsidR="18A47893" w:rsidRPr="003E4C33">
              <w:t>by the conditions of the delegation</w:t>
            </w:r>
          </w:p>
        </w:tc>
        <w:tc>
          <w:tcPr>
            <w:tcW w:w="4536" w:type="dxa"/>
            <w:vAlign w:val="center"/>
          </w:tcPr>
          <w:p w14:paraId="47B4B0BF" w14:textId="5FF32B8D" w:rsidR="001A1BA1" w:rsidRPr="003E4C33" w:rsidRDefault="00BD2905" w:rsidP="000772EB">
            <w:r>
              <w:lastRenderedPageBreak/>
              <w:t>n/a</w:t>
            </w:r>
          </w:p>
        </w:tc>
        <w:tc>
          <w:tcPr>
            <w:tcW w:w="1417" w:type="dxa"/>
            <w:vAlign w:val="center"/>
          </w:tcPr>
          <w:p w14:paraId="79ED7A02" w14:textId="77777777" w:rsidR="001A1BA1" w:rsidRPr="003E4C33" w:rsidRDefault="001A1BA1" w:rsidP="000772EB"/>
        </w:tc>
      </w:tr>
      <w:tr w:rsidR="001A1BA1" w:rsidRPr="003E4C33" w14:paraId="789A1406" w14:textId="77777777" w:rsidTr="6705CB2F">
        <w:trPr>
          <w:trHeight w:val="562"/>
        </w:trPr>
        <w:tc>
          <w:tcPr>
            <w:tcW w:w="3119" w:type="dxa"/>
            <w:vAlign w:val="center"/>
          </w:tcPr>
          <w:p w14:paraId="79CEA511" w14:textId="77777777" w:rsidR="001A1BA1" w:rsidRPr="003E4C33" w:rsidRDefault="001A1BA1" w:rsidP="000772EB">
            <w:pPr>
              <w:spacing w:before="120"/>
              <w:rPr>
                <w:b/>
              </w:rPr>
            </w:pPr>
            <w:r w:rsidRPr="003E4C33">
              <w:rPr>
                <w:b/>
              </w:rPr>
              <w:t>Ward Members</w:t>
            </w:r>
          </w:p>
          <w:p w14:paraId="079F86E6" w14:textId="03792320" w:rsidR="001A1BA1" w:rsidRPr="003E4C33" w:rsidRDefault="42DDDBA8" w:rsidP="000772EB">
            <w:pPr>
              <w:spacing w:before="120"/>
            </w:pPr>
            <w:r w:rsidRPr="003E4C33">
              <w:t>Where required</w:t>
            </w:r>
            <w:r w:rsidR="2187760D" w:rsidRPr="003E4C33">
              <w:t xml:space="preserve"> by the Constitution or conditions of the delegation</w:t>
            </w:r>
          </w:p>
        </w:tc>
        <w:tc>
          <w:tcPr>
            <w:tcW w:w="4536" w:type="dxa"/>
            <w:vAlign w:val="center"/>
          </w:tcPr>
          <w:p w14:paraId="0E06D3A4" w14:textId="226058A8" w:rsidR="001A1BA1" w:rsidRPr="003E4C33" w:rsidRDefault="00BD2905" w:rsidP="000772EB">
            <w:r>
              <w:t>n/a</w:t>
            </w:r>
          </w:p>
        </w:tc>
        <w:tc>
          <w:tcPr>
            <w:tcW w:w="1417"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t>Decision Maker Approval</w:t>
      </w:r>
    </w:p>
    <w:tbl>
      <w:tblPr>
        <w:tblStyle w:val="TableGrid1"/>
        <w:tblW w:w="0" w:type="auto"/>
        <w:tblInd w:w="137" w:type="dxa"/>
        <w:tblLook w:val="04A0" w:firstRow="1" w:lastRow="0" w:firstColumn="1" w:lastColumn="0" w:noHBand="0" w:noVBand="1"/>
      </w:tblPr>
      <w:tblGrid>
        <w:gridCol w:w="5103"/>
        <w:gridCol w:w="1418"/>
      </w:tblGrid>
      <w:tr w:rsidR="0BC4DFF5" w:rsidRPr="003E4C33" w14:paraId="56628C58" w14:textId="77777777" w:rsidTr="0BC4DFF5">
        <w:trPr>
          <w:trHeight w:val="300"/>
        </w:trPr>
        <w:tc>
          <w:tcPr>
            <w:tcW w:w="5103" w:type="dxa"/>
            <w:vAlign w:val="center"/>
          </w:tcPr>
          <w:p w14:paraId="0E828CBD" w14:textId="77777777" w:rsidR="0BC4DFF5" w:rsidRPr="003E4C33" w:rsidRDefault="0BC4DFF5" w:rsidP="0BC4DFF5">
            <w:pPr>
              <w:rPr>
                <w:b/>
                <w:bCs/>
                <w:i/>
                <w:iCs/>
              </w:rPr>
            </w:pPr>
            <w:r w:rsidRPr="003E4C33">
              <w:rPr>
                <w:b/>
                <w:bCs/>
                <w:i/>
                <w:iCs/>
              </w:rPr>
              <w:t>Name and job title</w:t>
            </w:r>
          </w:p>
        </w:tc>
        <w:tc>
          <w:tcPr>
            <w:tcW w:w="1417"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BC4DFF5">
        <w:trPr>
          <w:trHeight w:val="300"/>
        </w:trPr>
        <w:tc>
          <w:tcPr>
            <w:tcW w:w="5103" w:type="dxa"/>
            <w:vAlign w:val="center"/>
          </w:tcPr>
          <w:p w14:paraId="4BFBF992" w14:textId="77777777" w:rsidR="00D173CE" w:rsidRDefault="00D173CE" w:rsidP="00D173CE">
            <w:pPr>
              <w:spacing w:after="0"/>
              <w:rPr>
                <w:color w:val="auto"/>
              </w:rPr>
            </w:pPr>
          </w:p>
          <w:p w14:paraId="5668F516" w14:textId="0A46BF0A" w:rsidR="00D173CE" w:rsidRPr="00D173CE" w:rsidRDefault="00D173CE" w:rsidP="00D173CE">
            <w:pPr>
              <w:rPr>
                <w:color w:val="auto"/>
              </w:rPr>
            </w:pPr>
            <w:r w:rsidRPr="00D173CE">
              <w:rPr>
                <w:noProof/>
                <w:color w:val="auto"/>
              </w:rPr>
              <w:drawing>
                <wp:inline distT="0" distB="0" distL="0" distR="0" wp14:anchorId="5BE40A38" wp14:editId="61C4F1CB">
                  <wp:extent cx="1246228" cy="438150"/>
                  <wp:effectExtent l="0" t="0" r="0" b="0"/>
                  <wp:docPr id="1819341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7506" cy="445631"/>
                          </a:xfrm>
                          <a:prstGeom prst="rect">
                            <a:avLst/>
                          </a:prstGeom>
                          <a:noFill/>
                          <a:ln>
                            <a:noFill/>
                          </a:ln>
                        </pic:spPr>
                      </pic:pic>
                    </a:graphicData>
                  </a:graphic>
                </wp:inline>
              </w:drawing>
            </w:r>
          </w:p>
          <w:p w14:paraId="62FC1E2F" w14:textId="77777777" w:rsidR="00D173CE" w:rsidRDefault="00D173CE" w:rsidP="00D173CE">
            <w:pPr>
              <w:spacing w:after="0"/>
              <w:rPr>
                <w:color w:val="auto"/>
              </w:rPr>
            </w:pPr>
            <w:r>
              <w:rPr>
                <w:color w:val="auto"/>
              </w:rPr>
              <w:t>Tom Hook</w:t>
            </w:r>
          </w:p>
          <w:p w14:paraId="249841EC" w14:textId="03F59BFF" w:rsidR="0BC4DFF5" w:rsidRPr="00C55247" w:rsidRDefault="00D173CE">
            <w:r>
              <w:rPr>
                <w:color w:val="auto"/>
              </w:rPr>
              <w:t>Deputy Chief Executive</w:t>
            </w:r>
          </w:p>
        </w:tc>
        <w:tc>
          <w:tcPr>
            <w:tcW w:w="1417" w:type="dxa"/>
            <w:vAlign w:val="center"/>
          </w:tcPr>
          <w:p w14:paraId="32E398AB" w14:textId="32F4509A" w:rsidR="00CB7A4F" w:rsidRPr="003E4C33" w:rsidRDefault="00D173CE">
            <w:r>
              <w:t>23/10/2025</w:t>
            </w:r>
          </w:p>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call in period has passed. </w:t>
      </w:r>
    </w:p>
    <w:p w14:paraId="4D10D099" w14:textId="77777777" w:rsidR="001A1BA1" w:rsidRPr="003E4C33" w:rsidRDefault="001A1BA1" w:rsidP="001A1BA1">
      <w:pPr>
        <w:rPr>
          <w:rFonts w:cs="Arial"/>
          <w:b/>
        </w:rPr>
      </w:pP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1"/>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Making a regulatory order which affects a number of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Where the effect of a decision is to grant a licence or permission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4" w:name="_bookmark0"/>
      <w:bookmarkEnd w:id="4"/>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They must though be stored so as to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Key or Non Key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medium term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freeholds with a consideration over £500,000 in the context of the medium term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leaseholds where either the rental value is in excess of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even" r:id="rId13"/>
      <w:headerReference w:type="default" r:id="rId14"/>
      <w:footerReference w:type="even" r:id="rId15"/>
      <w:footerReference w:type="default" r:id="rId16"/>
      <w:headerReference w:type="first" r:id="rId17"/>
      <w:footerReference w:type="first" r:id="rId18"/>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9E38" w14:textId="77777777" w:rsidR="00774B95" w:rsidRDefault="00774B95" w:rsidP="004A6D2F">
      <w:r>
        <w:separator/>
      </w:r>
    </w:p>
  </w:endnote>
  <w:endnote w:type="continuationSeparator" w:id="0">
    <w:p w14:paraId="4E8A7E40" w14:textId="77777777" w:rsidR="00774B95" w:rsidRDefault="00774B95"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452A" w14:textId="0467CAC3" w:rsidR="005B064B" w:rsidRPr="005B064B" w:rsidRDefault="001A1BA1" w:rsidP="005B064B">
    <w:pPr>
      <w:pStyle w:val="Footer"/>
      <w:jc w:val="center"/>
      <w:rPr>
        <w:rFonts w:cs="Arial"/>
        <w:b/>
        <w:sz w:val="24"/>
      </w:rPr>
    </w:pPr>
    <w:r w:rsidRPr="001A1BA1">
      <w:rPr>
        <w:rFonts w:cs="Arial"/>
        <w:b/>
        <w:sz w:val="24"/>
      </w:rPr>
      <w:t xml:space="preserve">Please send the completed form to </w:t>
    </w:r>
    <w:hyperlink r:id="rId1" w:history="1">
      <w:r w:rsidR="005B064B" w:rsidRPr="00936544">
        <w:rPr>
          <w:rStyle w:val="Hyperlink"/>
          <w:rFonts w:cs="Arial"/>
          <w:b/>
        </w:rPr>
        <w:t>acforwardplan@oxford.gov.uk</w:t>
      </w:r>
    </w:hyperlink>
    <w:r w:rsidR="005B064B" w:rsidRPr="005B064B">
      <w:rPr>
        <w:rFonts w:cs="Arial"/>
        <w:b/>
        <w:color w:val="0000FF"/>
        <w:sz w:val="24"/>
        <w:u w:val="single"/>
      </w:rPr>
      <w:t xml:space="preserve"> </w:t>
    </w:r>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4C96" w14:textId="77777777" w:rsidR="00774B95" w:rsidRDefault="00774B95" w:rsidP="004A6D2F">
      <w:r>
        <w:separator/>
      </w:r>
    </w:p>
  </w:footnote>
  <w:footnote w:type="continuationSeparator" w:id="0">
    <w:p w14:paraId="6BE80D4B" w14:textId="77777777" w:rsidR="00774B95" w:rsidRDefault="00774B95" w:rsidP="004A6D2F">
      <w:r>
        <w:continuationSeparator/>
      </w:r>
    </w:p>
  </w:footnote>
  <w:footnote w:id="1">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E0A0" w14:textId="77777777" w:rsidR="005B064B" w:rsidRDefault="005B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E152B2"/>
    <w:multiLevelType w:val="hybridMultilevel"/>
    <w:tmpl w:val="9BBCF3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2263A6A"/>
    <w:multiLevelType w:val="multilevel"/>
    <w:tmpl w:val="43D6D2FA"/>
    <w:numStyleLink w:val="StyleBulletedSymbolsymbolLeft063cmHanging063cm"/>
  </w:abstractNum>
  <w:abstractNum w:abstractNumId="21"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BA5FD8"/>
    <w:multiLevelType w:val="multilevel"/>
    <w:tmpl w:val="43D6D2FA"/>
    <w:numStyleLink w:val="StyleBulletedSymbolsymbolLeft063cmHanging063cm"/>
  </w:abstractNum>
  <w:abstractNum w:abstractNumId="35"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A22831"/>
    <w:multiLevelType w:val="multilevel"/>
    <w:tmpl w:val="43D6D2FA"/>
    <w:numStyleLink w:val="StyleBulletedSymbolsymbolLeft063cmHanging063cm"/>
  </w:abstractNum>
  <w:abstractNum w:abstractNumId="37"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365C6"/>
    <w:multiLevelType w:val="multilevel"/>
    <w:tmpl w:val="E67CE66C"/>
    <w:numStyleLink w:val="StyleNumberedLeft0cmHanging075cm"/>
  </w:abstractNum>
  <w:abstractNum w:abstractNumId="44"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7"/>
  </w:num>
  <w:num w:numId="2" w16cid:durableId="295525028">
    <w:abstractNumId w:val="16"/>
  </w:num>
  <w:num w:numId="3" w16cid:durableId="449398042">
    <w:abstractNumId w:val="33"/>
  </w:num>
  <w:num w:numId="4" w16cid:durableId="155997720">
    <w:abstractNumId w:val="39"/>
  </w:num>
  <w:num w:numId="5" w16cid:durableId="684749378">
    <w:abstractNumId w:val="28"/>
  </w:num>
  <w:num w:numId="6" w16cid:durableId="432477665">
    <w:abstractNumId w:val="21"/>
  </w:num>
  <w:num w:numId="7" w16cid:durableId="1168204831">
    <w:abstractNumId w:val="35"/>
  </w:num>
  <w:num w:numId="8" w16cid:durableId="155805248">
    <w:abstractNumId w:val="41"/>
  </w:num>
  <w:num w:numId="9" w16cid:durableId="1582835092">
    <w:abstractNumId w:val="27"/>
  </w:num>
  <w:num w:numId="10" w16cid:durableId="1896813794">
    <w:abstractNumId w:val="23"/>
  </w:num>
  <w:num w:numId="11" w16cid:durableId="1223564051">
    <w:abstractNumId w:val="14"/>
  </w:num>
  <w:num w:numId="12" w16cid:durableId="1616984022">
    <w:abstractNumId w:val="18"/>
  </w:num>
  <w:num w:numId="13" w16cid:durableId="611942354">
    <w:abstractNumId w:val="30"/>
  </w:num>
  <w:num w:numId="14" w16cid:durableId="48847933">
    <w:abstractNumId w:val="29"/>
  </w:num>
  <w:num w:numId="15" w16cid:durableId="1594360626">
    <w:abstractNumId w:val="11"/>
  </w:num>
  <w:num w:numId="16" w16cid:durableId="806975598">
    <w:abstractNumId w:val="43"/>
  </w:num>
  <w:num w:numId="17" w16cid:durableId="1143692141">
    <w:abstractNumId w:val="19"/>
  </w:num>
  <w:num w:numId="18" w16cid:durableId="290284048">
    <w:abstractNumId w:val="12"/>
  </w:num>
  <w:num w:numId="19" w16cid:durableId="346717609">
    <w:abstractNumId w:val="34"/>
  </w:num>
  <w:num w:numId="20" w16cid:durableId="490602500">
    <w:abstractNumId w:val="13"/>
  </w:num>
  <w:num w:numId="21" w16cid:durableId="1664510238">
    <w:abstractNumId w:val="36"/>
  </w:num>
  <w:num w:numId="22" w16cid:durableId="1264797914">
    <w:abstractNumId w:val="20"/>
  </w:num>
  <w:num w:numId="23" w16cid:durableId="1892495712">
    <w:abstractNumId w:val="24"/>
  </w:num>
  <w:num w:numId="24" w16cid:durableId="1551064890">
    <w:abstractNumId w:val="15"/>
  </w:num>
  <w:num w:numId="25" w16cid:durableId="637807967">
    <w:abstractNumId w:val="38"/>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1"/>
  </w:num>
  <w:num w:numId="37" w16cid:durableId="840047793">
    <w:abstractNumId w:val="32"/>
  </w:num>
  <w:num w:numId="38" w16cid:durableId="1263950813">
    <w:abstractNumId w:val="42"/>
  </w:num>
  <w:num w:numId="39" w16cid:durableId="327559103">
    <w:abstractNumId w:val="10"/>
  </w:num>
  <w:num w:numId="40" w16cid:durableId="1311447890">
    <w:abstractNumId w:val="44"/>
  </w:num>
  <w:num w:numId="41" w16cid:durableId="1370304610">
    <w:abstractNumId w:val="40"/>
  </w:num>
  <w:num w:numId="42" w16cid:durableId="1152941978">
    <w:abstractNumId w:val="22"/>
  </w:num>
  <w:num w:numId="43" w16cid:durableId="491873441">
    <w:abstractNumId w:val="25"/>
  </w:num>
  <w:num w:numId="44" w16cid:durableId="2006741231">
    <w:abstractNumId w:val="26"/>
  </w:num>
  <w:num w:numId="45" w16cid:durableId="473832940">
    <w:abstractNumId w:val="17"/>
  </w:num>
  <w:num w:numId="46" w16cid:durableId="5029391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721193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06780241">
    <w:abstractNumId w:val="43"/>
    <w:lvlOverride w:ilvl="0">
      <w:lvl w:ilvl="0">
        <w:numFmt w:val="decimal"/>
        <w:pStyle w:val="ListParagraph"/>
        <w:lvlText w:val="%1."/>
        <w:lvlJc w:val="left"/>
        <w:pPr>
          <w:ind w:left="4472" w:hanging="360"/>
        </w:pPr>
        <w:rPr>
          <w:b w:val="0"/>
          <w:i w:val="0"/>
          <w:color w:val="000000"/>
          <w:sz w:val="24"/>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26102"/>
    <w:rsid w:val="000314D7"/>
    <w:rsid w:val="00034054"/>
    <w:rsid w:val="00045F8B"/>
    <w:rsid w:val="00046D2B"/>
    <w:rsid w:val="00056263"/>
    <w:rsid w:val="00064D8A"/>
    <w:rsid w:val="00064F82"/>
    <w:rsid w:val="00066510"/>
    <w:rsid w:val="0007063C"/>
    <w:rsid w:val="00077523"/>
    <w:rsid w:val="0008425C"/>
    <w:rsid w:val="0009465B"/>
    <w:rsid w:val="000B1822"/>
    <w:rsid w:val="000B1DFC"/>
    <w:rsid w:val="000B6246"/>
    <w:rsid w:val="000C089F"/>
    <w:rsid w:val="000C260D"/>
    <w:rsid w:val="000C3928"/>
    <w:rsid w:val="000C51D6"/>
    <w:rsid w:val="000C5E8E"/>
    <w:rsid w:val="000F3878"/>
    <w:rsid w:val="000F4751"/>
    <w:rsid w:val="0010524C"/>
    <w:rsid w:val="00111FB1"/>
    <w:rsid w:val="00113418"/>
    <w:rsid w:val="00117C1C"/>
    <w:rsid w:val="00124E5C"/>
    <w:rsid w:val="001356F1"/>
    <w:rsid w:val="00136994"/>
    <w:rsid w:val="0014128E"/>
    <w:rsid w:val="00151888"/>
    <w:rsid w:val="00152A8D"/>
    <w:rsid w:val="00170A2D"/>
    <w:rsid w:val="001808BC"/>
    <w:rsid w:val="00182B81"/>
    <w:rsid w:val="0018619D"/>
    <w:rsid w:val="001A011E"/>
    <w:rsid w:val="001A066A"/>
    <w:rsid w:val="001A13E6"/>
    <w:rsid w:val="001A1BA1"/>
    <w:rsid w:val="001A5731"/>
    <w:rsid w:val="001B42C3"/>
    <w:rsid w:val="001C5D5E"/>
    <w:rsid w:val="001D678D"/>
    <w:rsid w:val="001E03F8"/>
    <w:rsid w:val="001E1678"/>
    <w:rsid w:val="001E3376"/>
    <w:rsid w:val="002069B3"/>
    <w:rsid w:val="00226F8A"/>
    <w:rsid w:val="002329CF"/>
    <w:rsid w:val="00232F5B"/>
    <w:rsid w:val="00241830"/>
    <w:rsid w:val="0024565D"/>
    <w:rsid w:val="00247C29"/>
    <w:rsid w:val="00260467"/>
    <w:rsid w:val="00263408"/>
    <w:rsid w:val="00263EA3"/>
    <w:rsid w:val="0026707D"/>
    <w:rsid w:val="00284F85"/>
    <w:rsid w:val="002870C3"/>
    <w:rsid w:val="00290915"/>
    <w:rsid w:val="002A22E2"/>
    <w:rsid w:val="002B46A9"/>
    <w:rsid w:val="002B6836"/>
    <w:rsid w:val="002C64F7"/>
    <w:rsid w:val="002F232D"/>
    <w:rsid w:val="002F41F2"/>
    <w:rsid w:val="00301BF3"/>
    <w:rsid w:val="0030208D"/>
    <w:rsid w:val="00323418"/>
    <w:rsid w:val="003273FD"/>
    <w:rsid w:val="0033565F"/>
    <w:rsid w:val="003357BF"/>
    <w:rsid w:val="00340B77"/>
    <w:rsid w:val="00354567"/>
    <w:rsid w:val="00364FAD"/>
    <w:rsid w:val="0036738F"/>
    <w:rsid w:val="0036759C"/>
    <w:rsid w:val="00367AE5"/>
    <w:rsid w:val="00367D71"/>
    <w:rsid w:val="00372A82"/>
    <w:rsid w:val="0038150A"/>
    <w:rsid w:val="003B6E75"/>
    <w:rsid w:val="003B7DA1"/>
    <w:rsid w:val="003D0379"/>
    <w:rsid w:val="003D2574"/>
    <w:rsid w:val="003D4C59"/>
    <w:rsid w:val="003E4C33"/>
    <w:rsid w:val="003F4267"/>
    <w:rsid w:val="00404032"/>
    <w:rsid w:val="0040736F"/>
    <w:rsid w:val="00412C1F"/>
    <w:rsid w:val="00421CB2"/>
    <w:rsid w:val="004268B9"/>
    <w:rsid w:val="00433B96"/>
    <w:rsid w:val="00442C9D"/>
    <w:rsid w:val="004440F1"/>
    <w:rsid w:val="004456DD"/>
    <w:rsid w:val="00446CDF"/>
    <w:rsid w:val="004521B7"/>
    <w:rsid w:val="004548E0"/>
    <w:rsid w:val="00455327"/>
    <w:rsid w:val="0045681B"/>
    <w:rsid w:val="00462AB5"/>
    <w:rsid w:val="00465EAF"/>
    <w:rsid w:val="004738C5"/>
    <w:rsid w:val="0047737B"/>
    <w:rsid w:val="004809CF"/>
    <w:rsid w:val="004824CD"/>
    <w:rsid w:val="00491046"/>
    <w:rsid w:val="00496078"/>
    <w:rsid w:val="004A2AC7"/>
    <w:rsid w:val="004A39C3"/>
    <w:rsid w:val="004A6D2F"/>
    <w:rsid w:val="004B11AE"/>
    <w:rsid w:val="004C2887"/>
    <w:rsid w:val="004D2626"/>
    <w:rsid w:val="004D6E26"/>
    <w:rsid w:val="004D77D3"/>
    <w:rsid w:val="004E2959"/>
    <w:rsid w:val="004F20EF"/>
    <w:rsid w:val="004F554F"/>
    <w:rsid w:val="0050321C"/>
    <w:rsid w:val="00507ECC"/>
    <w:rsid w:val="00512370"/>
    <w:rsid w:val="00523261"/>
    <w:rsid w:val="00531E16"/>
    <w:rsid w:val="0054712D"/>
    <w:rsid w:val="00547EF6"/>
    <w:rsid w:val="0055056C"/>
    <w:rsid w:val="005570B5"/>
    <w:rsid w:val="00566DCF"/>
    <w:rsid w:val="00567E18"/>
    <w:rsid w:val="00575F5F"/>
    <w:rsid w:val="00576CD0"/>
    <w:rsid w:val="00580D8A"/>
    <w:rsid w:val="00581805"/>
    <w:rsid w:val="00585F76"/>
    <w:rsid w:val="005A34E4"/>
    <w:rsid w:val="005A6610"/>
    <w:rsid w:val="005A7184"/>
    <w:rsid w:val="005B064B"/>
    <w:rsid w:val="005B17F2"/>
    <w:rsid w:val="005B7FB0"/>
    <w:rsid w:val="005C35A5"/>
    <w:rsid w:val="005C577C"/>
    <w:rsid w:val="005D0621"/>
    <w:rsid w:val="005D1E27"/>
    <w:rsid w:val="005D2A3E"/>
    <w:rsid w:val="005E022E"/>
    <w:rsid w:val="005E2B45"/>
    <w:rsid w:val="005E5215"/>
    <w:rsid w:val="005F7F7E"/>
    <w:rsid w:val="00614693"/>
    <w:rsid w:val="00622741"/>
    <w:rsid w:val="00623C2F"/>
    <w:rsid w:val="0062617B"/>
    <w:rsid w:val="00630829"/>
    <w:rsid w:val="00633578"/>
    <w:rsid w:val="0063408C"/>
    <w:rsid w:val="00635E3E"/>
    <w:rsid w:val="00637068"/>
    <w:rsid w:val="006419CA"/>
    <w:rsid w:val="00650811"/>
    <w:rsid w:val="00661D3E"/>
    <w:rsid w:val="00692627"/>
    <w:rsid w:val="006969E7"/>
    <w:rsid w:val="006A3643"/>
    <w:rsid w:val="006B10C2"/>
    <w:rsid w:val="006B2DE1"/>
    <w:rsid w:val="006B53CC"/>
    <w:rsid w:val="006C2A29"/>
    <w:rsid w:val="006C4EB8"/>
    <w:rsid w:val="006C64CF"/>
    <w:rsid w:val="006C767F"/>
    <w:rsid w:val="006C7D2E"/>
    <w:rsid w:val="006D17B1"/>
    <w:rsid w:val="006D309B"/>
    <w:rsid w:val="006D4752"/>
    <w:rsid w:val="006D708A"/>
    <w:rsid w:val="006E14C1"/>
    <w:rsid w:val="006E1FA1"/>
    <w:rsid w:val="006E52C6"/>
    <w:rsid w:val="006E614E"/>
    <w:rsid w:val="006F0292"/>
    <w:rsid w:val="006F27FA"/>
    <w:rsid w:val="006F416B"/>
    <w:rsid w:val="006F519B"/>
    <w:rsid w:val="00713675"/>
    <w:rsid w:val="00715823"/>
    <w:rsid w:val="007253EF"/>
    <w:rsid w:val="0073569D"/>
    <w:rsid w:val="00737B93"/>
    <w:rsid w:val="00745BF0"/>
    <w:rsid w:val="00751EA3"/>
    <w:rsid w:val="007615FE"/>
    <w:rsid w:val="00762C39"/>
    <w:rsid w:val="00764BAF"/>
    <w:rsid w:val="0076655C"/>
    <w:rsid w:val="007742DC"/>
    <w:rsid w:val="00774B95"/>
    <w:rsid w:val="0078005C"/>
    <w:rsid w:val="00785930"/>
    <w:rsid w:val="00791437"/>
    <w:rsid w:val="007967CA"/>
    <w:rsid w:val="007A307C"/>
    <w:rsid w:val="007B0C2C"/>
    <w:rsid w:val="007B278E"/>
    <w:rsid w:val="007B4C81"/>
    <w:rsid w:val="007B59A7"/>
    <w:rsid w:val="007B5CA2"/>
    <w:rsid w:val="007C1F3D"/>
    <w:rsid w:val="007C5C23"/>
    <w:rsid w:val="007E2A26"/>
    <w:rsid w:val="007F2348"/>
    <w:rsid w:val="007F4757"/>
    <w:rsid w:val="00803F07"/>
    <w:rsid w:val="0080749A"/>
    <w:rsid w:val="00821FB8"/>
    <w:rsid w:val="00822ACD"/>
    <w:rsid w:val="00855C66"/>
    <w:rsid w:val="00871EE4"/>
    <w:rsid w:val="008954DF"/>
    <w:rsid w:val="008A34D3"/>
    <w:rsid w:val="008B293F"/>
    <w:rsid w:val="008B7371"/>
    <w:rsid w:val="008C3026"/>
    <w:rsid w:val="008C5DE8"/>
    <w:rsid w:val="008D2347"/>
    <w:rsid w:val="008D3DDB"/>
    <w:rsid w:val="008F1BB4"/>
    <w:rsid w:val="008F3B04"/>
    <w:rsid w:val="008F573F"/>
    <w:rsid w:val="009034EC"/>
    <w:rsid w:val="00905FE1"/>
    <w:rsid w:val="0093067A"/>
    <w:rsid w:val="009323B2"/>
    <w:rsid w:val="00941C60"/>
    <w:rsid w:val="00941FD1"/>
    <w:rsid w:val="0094443D"/>
    <w:rsid w:val="00953806"/>
    <w:rsid w:val="0096297B"/>
    <w:rsid w:val="00966D42"/>
    <w:rsid w:val="00971689"/>
    <w:rsid w:val="0097170F"/>
    <w:rsid w:val="00973E90"/>
    <w:rsid w:val="00975B07"/>
    <w:rsid w:val="00980B4A"/>
    <w:rsid w:val="0099164D"/>
    <w:rsid w:val="009B3E8A"/>
    <w:rsid w:val="009C5661"/>
    <w:rsid w:val="009D09BD"/>
    <w:rsid w:val="009D3627"/>
    <w:rsid w:val="009D7080"/>
    <w:rsid w:val="009E3D0A"/>
    <w:rsid w:val="009E51FC"/>
    <w:rsid w:val="009E68E0"/>
    <w:rsid w:val="009F1D28"/>
    <w:rsid w:val="009F2EC2"/>
    <w:rsid w:val="009F6BC0"/>
    <w:rsid w:val="009F7291"/>
    <w:rsid w:val="009F7618"/>
    <w:rsid w:val="00A04D23"/>
    <w:rsid w:val="00A06766"/>
    <w:rsid w:val="00A13765"/>
    <w:rsid w:val="00A21B12"/>
    <w:rsid w:val="00A23F80"/>
    <w:rsid w:val="00A46E98"/>
    <w:rsid w:val="00A526F7"/>
    <w:rsid w:val="00A6352B"/>
    <w:rsid w:val="00A701B5"/>
    <w:rsid w:val="00A714BB"/>
    <w:rsid w:val="00A77147"/>
    <w:rsid w:val="00A824F2"/>
    <w:rsid w:val="00A92D8F"/>
    <w:rsid w:val="00AB2988"/>
    <w:rsid w:val="00AB2A81"/>
    <w:rsid w:val="00AB3F66"/>
    <w:rsid w:val="00AB7999"/>
    <w:rsid w:val="00AD3292"/>
    <w:rsid w:val="00AE1684"/>
    <w:rsid w:val="00AE262E"/>
    <w:rsid w:val="00AE7AF0"/>
    <w:rsid w:val="00B13A1E"/>
    <w:rsid w:val="00B33003"/>
    <w:rsid w:val="00B35BD0"/>
    <w:rsid w:val="00B500CA"/>
    <w:rsid w:val="00B6369C"/>
    <w:rsid w:val="00B86314"/>
    <w:rsid w:val="00B93FFA"/>
    <w:rsid w:val="00BA187C"/>
    <w:rsid w:val="00BA1C2E"/>
    <w:rsid w:val="00BC200B"/>
    <w:rsid w:val="00BC4756"/>
    <w:rsid w:val="00BC69A4"/>
    <w:rsid w:val="00BD1F7A"/>
    <w:rsid w:val="00BD2905"/>
    <w:rsid w:val="00BE0680"/>
    <w:rsid w:val="00BE305F"/>
    <w:rsid w:val="00BE7BA3"/>
    <w:rsid w:val="00BF2B37"/>
    <w:rsid w:val="00BF5682"/>
    <w:rsid w:val="00BF7B09"/>
    <w:rsid w:val="00C05260"/>
    <w:rsid w:val="00C059B9"/>
    <w:rsid w:val="00C06AED"/>
    <w:rsid w:val="00C076B9"/>
    <w:rsid w:val="00C13356"/>
    <w:rsid w:val="00C20A95"/>
    <w:rsid w:val="00C250D3"/>
    <w:rsid w:val="00C2692F"/>
    <w:rsid w:val="00C31AD0"/>
    <w:rsid w:val="00C3207C"/>
    <w:rsid w:val="00C36619"/>
    <w:rsid w:val="00C400E1"/>
    <w:rsid w:val="00C41187"/>
    <w:rsid w:val="00C470C1"/>
    <w:rsid w:val="00C55247"/>
    <w:rsid w:val="00C56120"/>
    <w:rsid w:val="00C63C31"/>
    <w:rsid w:val="00C66CFF"/>
    <w:rsid w:val="00C757A0"/>
    <w:rsid w:val="00C760DE"/>
    <w:rsid w:val="00C82630"/>
    <w:rsid w:val="00C85702"/>
    <w:rsid w:val="00C85B4E"/>
    <w:rsid w:val="00C87578"/>
    <w:rsid w:val="00C907F7"/>
    <w:rsid w:val="00C92F9E"/>
    <w:rsid w:val="00C9625C"/>
    <w:rsid w:val="00CA2103"/>
    <w:rsid w:val="00CB21E8"/>
    <w:rsid w:val="00CB6B99"/>
    <w:rsid w:val="00CB7A4F"/>
    <w:rsid w:val="00CE4C87"/>
    <w:rsid w:val="00CE544A"/>
    <w:rsid w:val="00D01361"/>
    <w:rsid w:val="00D11E1C"/>
    <w:rsid w:val="00D1328A"/>
    <w:rsid w:val="00D160B0"/>
    <w:rsid w:val="00D173CE"/>
    <w:rsid w:val="00D17F94"/>
    <w:rsid w:val="00D223FC"/>
    <w:rsid w:val="00D26D1E"/>
    <w:rsid w:val="00D33FBF"/>
    <w:rsid w:val="00D431A0"/>
    <w:rsid w:val="00D474CF"/>
    <w:rsid w:val="00D5547E"/>
    <w:rsid w:val="00D566E2"/>
    <w:rsid w:val="00D73DD3"/>
    <w:rsid w:val="00D8270A"/>
    <w:rsid w:val="00D860E2"/>
    <w:rsid w:val="00D869A1"/>
    <w:rsid w:val="00DA413F"/>
    <w:rsid w:val="00DA4584"/>
    <w:rsid w:val="00DA47BC"/>
    <w:rsid w:val="00DA614B"/>
    <w:rsid w:val="00DB707A"/>
    <w:rsid w:val="00DB7AD7"/>
    <w:rsid w:val="00DC3060"/>
    <w:rsid w:val="00DE0FB2"/>
    <w:rsid w:val="00DF093E"/>
    <w:rsid w:val="00DF5D4E"/>
    <w:rsid w:val="00DF73FF"/>
    <w:rsid w:val="00E01F42"/>
    <w:rsid w:val="00E05CAA"/>
    <w:rsid w:val="00E10B3A"/>
    <w:rsid w:val="00E206D6"/>
    <w:rsid w:val="00E3366E"/>
    <w:rsid w:val="00E4579E"/>
    <w:rsid w:val="00E508A1"/>
    <w:rsid w:val="00E52086"/>
    <w:rsid w:val="00E543A6"/>
    <w:rsid w:val="00E551C4"/>
    <w:rsid w:val="00E60479"/>
    <w:rsid w:val="00E61D73"/>
    <w:rsid w:val="00E73684"/>
    <w:rsid w:val="00E818D6"/>
    <w:rsid w:val="00E87F7A"/>
    <w:rsid w:val="00E94B3E"/>
    <w:rsid w:val="00E96BD7"/>
    <w:rsid w:val="00EA0DB1"/>
    <w:rsid w:val="00EA0EE9"/>
    <w:rsid w:val="00ED52CA"/>
    <w:rsid w:val="00ED5860"/>
    <w:rsid w:val="00EE149B"/>
    <w:rsid w:val="00EE35C9"/>
    <w:rsid w:val="00F03F3C"/>
    <w:rsid w:val="00F05ECA"/>
    <w:rsid w:val="00F122B1"/>
    <w:rsid w:val="00F26E21"/>
    <w:rsid w:val="00F3566E"/>
    <w:rsid w:val="00F375FB"/>
    <w:rsid w:val="00F41AC1"/>
    <w:rsid w:val="00F4367A"/>
    <w:rsid w:val="00F445B1"/>
    <w:rsid w:val="00F45CD4"/>
    <w:rsid w:val="00F66DCA"/>
    <w:rsid w:val="00F67D80"/>
    <w:rsid w:val="00F74F53"/>
    <w:rsid w:val="00F7606D"/>
    <w:rsid w:val="00F81670"/>
    <w:rsid w:val="00F82024"/>
    <w:rsid w:val="00F865A3"/>
    <w:rsid w:val="00F95BC9"/>
    <w:rsid w:val="00F96B7E"/>
    <w:rsid w:val="00FA624C"/>
    <w:rsid w:val="00FB3B71"/>
    <w:rsid w:val="00FD0FAC"/>
    <w:rsid w:val="00FD1DFA"/>
    <w:rsid w:val="00FD2CD4"/>
    <w:rsid w:val="00FD4966"/>
    <w:rsid w:val="00FE57DC"/>
    <w:rsid w:val="00FF095A"/>
    <w:rsid w:val="012460D6"/>
    <w:rsid w:val="0287E82A"/>
    <w:rsid w:val="02AB56F3"/>
    <w:rsid w:val="0710BB9B"/>
    <w:rsid w:val="08612AF7"/>
    <w:rsid w:val="086B0F04"/>
    <w:rsid w:val="08A8E222"/>
    <w:rsid w:val="0939A38A"/>
    <w:rsid w:val="09EA6934"/>
    <w:rsid w:val="0A996ACD"/>
    <w:rsid w:val="0AFF6EB2"/>
    <w:rsid w:val="0BC4DFF5"/>
    <w:rsid w:val="0C9B31B2"/>
    <w:rsid w:val="10D6FE06"/>
    <w:rsid w:val="114C5F09"/>
    <w:rsid w:val="1200FACE"/>
    <w:rsid w:val="12E744BB"/>
    <w:rsid w:val="13D64D59"/>
    <w:rsid w:val="17513DD5"/>
    <w:rsid w:val="18A47893"/>
    <w:rsid w:val="1D080B8E"/>
    <w:rsid w:val="1D2FA919"/>
    <w:rsid w:val="1D79CE75"/>
    <w:rsid w:val="2187760D"/>
    <w:rsid w:val="229BB4EA"/>
    <w:rsid w:val="29C91C3A"/>
    <w:rsid w:val="2B7BAFE9"/>
    <w:rsid w:val="2BB29E7E"/>
    <w:rsid w:val="2C0F9C71"/>
    <w:rsid w:val="2E6D5454"/>
    <w:rsid w:val="2F2A85A0"/>
    <w:rsid w:val="33B7281E"/>
    <w:rsid w:val="33FF7DAA"/>
    <w:rsid w:val="361E7983"/>
    <w:rsid w:val="37FFB4D7"/>
    <w:rsid w:val="395C47E3"/>
    <w:rsid w:val="397B3F40"/>
    <w:rsid w:val="39A05735"/>
    <w:rsid w:val="3CC14F5D"/>
    <w:rsid w:val="3D3B0069"/>
    <w:rsid w:val="3D9882EA"/>
    <w:rsid w:val="3DF14DDC"/>
    <w:rsid w:val="3EBA0DA8"/>
    <w:rsid w:val="3EF71E4E"/>
    <w:rsid w:val="3F74E53E"/>
    <w:rsid w:val="40063A47"/>
    <w:rsid w:val="40774643"/>
    <w:rsid w:val="41571A7F"/>
    <w:rsid w:val="42DDDBA8"/>
    <w:rsid w:val="45BBD153"/>
    <w:rsid w:val="47F273E0"/>
    <w:rsid w:val="4B84F9CA"/>
    <w:rsid w:val="4C2D167E"/>
    <w:rsid w:val="4C36344A"/>
    <w:rsid w:val="4E780D21"/>
    <w:rsid w:val="4F43C41E"/>
    <w:rsid w:val="4F966FB6"/>
    <w:rsid w:val="5353493B"/>
    <w:rsid w:val="5602BFF8"/>
    <w:rsid w:val="561E3DD4"/>
    <w:rsid w:val="5808269C"/>
    <w:rsid w:val="5832B0E0"/>
    <w:rsid w:val="5B818A7E"/>
    <w:rsid w:val="5C2B989B"/>
    <w:rsid w:val="5CBE517D"/>
    <w:rsid w:val="5D71F95F"/>
    <w:rsid w:val="5D81E474"/>
    <w:rsid w:val="5E6B8486"/>
    <w:rsid w:val="657286C4"/>
    <w:rsid w:val="65912E93"/>
    <w:rsid w:val="6705CB2F"/>
    <w:rsid w:val="67763C94"/>
    <w:rsid w:val="68A4BF98"/>
    <w:rsid w:val="69410224"/>
    <w:rsid w:val="69C0F1C8"/>
    <w:rsid w:val="6A38635F"/>
    <w:rsid w:val="6AB83EFA"/>
    <w:rsid w:val="6C68FDE1"/>
    <w:rsid w:val="6D8A7C5A"/>
    <w:rsid w:val="6EF1E5C9"/>
    <w:rsid w:val="709410E8"/>
    <w:rsid w:val="70BB03AA"/>
    <w:rsid w:val="70CE5F5A"/>
    <w:rsid w:val="7126238E"/>
    <w:rsid w:val="719C242E"/>
    <w:rsid w:val="7337D733"/>
    <w:rsid w:val="7437B097"/>
    <w:rsid w:val="74DD5E36"/>
    <w:rsid w:val="76DC391E"/>
    <w:rsid w:val="7A731415"/>
    <w:rsid w:val="7ACC6696"/>
    <w:rsid w:val="7BF71614"/>
    <w:rsid w:val="7E2CE386"/>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B064B"/>
    <w:rPr>
      <w:color w:val="605E5C"/>
      <w:shd w:val="clear" w:color="auto" w:fill="E1DFDD"/>
    </w:rPr>
  </w:style>
  <w:style w:type="character" w:styleId="FollowedHyperlink">
    <w:name w:val="FollowedHyperlink"/>
    <w:basedOn w:val="DefaultParagraphFont"/>
    <w:semiHidden/>
    <w:unhideWhenUsed/>
    <w:rsid w:val="00C06AED"/>
    <w:rPr>
      <w:color w:val="800080" w:themeColor="followedHyperlink"/>
      <w:u w:val="single"/>
    </w:rPr>
  </w:style>
  <w:style w:type="character" w:customStyle="1" w:styleId="normaltextrun">
    <w:name w:val="normaltextrun"/>
    <w:basedOn w:val="DefaultParagraphFont"/>
    <w:rsid w:val="00480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documents/s79685/Cabinet%20Minutes%20Jun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acforwardplan@oxford.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C370AFC7DE148BB77AAD9321368AB" ma:contentTypeVersion="15" ma:contentTypeDescription="Create a new document." ma:contentTypeScope="" ma:versionID="150f5709c46b35be85430568f31a3208">
  <xsd:schema xmlns:xsd="http://www.w3.org/2001/XMLSchema" xmlns:xs="http://www.w3.org/2001/XMLSchema" xmlns:p="http://schemas.microsoft.com/office/2006/metadata/properties" xmlns:ns2="7607d55f-f995-4d2f-9841-d792d86f2699" xmlns:ns3="1fe79654-e136-49df-a532-43d455ade0df" targetNamespace="http://schemas.microsoft.com/office/2006/metadata/properties" ma:root="true" ma:fieldsID="b7807e576454c90b3cd93f92a157c498" ns2:_="" ns3:_="">
    <xsd:import namespace="7607d55f-f995-4d2f-9841-d792d86f2699"/>
    <xsd:import namespace="1fe79654-e136-49df-a532-43d455ade0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7d55f-f995-4d2f-9841-d792d86f2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79654-e136-49df-a532-43d455ade0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b79246a-b060-40d4-bc6c-05eb61646609}" ma:internalName="TaxCatchAll" ma:showField="CatchAllData" ma:web="1fe79654-e136-49df-a532-43d455ade0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fe79654-e136-49df-a532-43d455ade0df" xsi:nil="true"/>
    <lcf76f155ced4ddcb4097134ff3c332f xmlns="7607d55f-f995-4d2f-9841-d792d86f26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720C9B-A9CE-4F86-AD8A-A50D1DAB2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7d55f-f995-4d2f-9841-d792d86f2699"/>
    <ds:schemaRef ds:uri="1fe79654-e136-49df-a532-43d455ade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3.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4.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 ds:uri="1fe79654-e136-49df-a532-43d455ade0df"/>
    <ds:schemaRef ds:uri="7607d55f-f995-4d2f-9841-d792d86f269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1468</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MALTON Jonathan</cp:lastModifiedBy>
  <cp:revision>5</cp:revision>
  <cp:lastPrinted>2015-07-03T13:50:00Z</cp:lastPrinted>
  <dcterms:created xsi:type="dcterms:W3CDTF">2025-10-23T14:07:00Z</dcterms:created>
  <dcterms:modified xsi:type="dcterms:W3CDTF">2025-10-24T09:45:00Z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0x010100F8CC370AFC7DE148BB77AAD9321368AB</vt:lpwstr>
  </property>
  <property fmtid="{D5CDD505-2E9C-101B-9397-08002B2CF9AE}" pid="3" name="MediaServiceImageTags">
    <vt:lpwstr/>
  </property>
</Properties>
</file>